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tabs>
          <w:tab w:val="left" w:pos="11340"/>
        </w:tabs>
        <w:spacing w:line="600" w:lineRule="exact"/>
        <w:jc w:val="both"/>
        <w:rPr>
          <w:rFonts w:hint="default" w:ascii="方正小标宋_GBK" w:hAnsi="华文中宋" w:eastAsia="方正小标宋_GBK"/>
          <w:b/>
          <w:bCs/>
          <w:spacing w:val="3"/>
          <w:sz w:val="44"/>
          <w:szCs w:val="44"/>
          <w:highlight w:val="none"/>
          <w:lang w:val="en-US" w:eastAsia="zh-CN"/>
        </w:rPr>
      </w:pPr>
    </w:p>
    <w:p>
      <w:pPr>
        <w:shd w:val="clear"/>
        <w:tabs>
          <w:tab w:val="left" w:pos="11340"/>
        </w:tabs>
        <w:spacing w:line="600" w:lineRule="exact"/>
        <w:jc w:val="center"/>
        <w:rPr>
          <w:rFonts w:ascii="方正小标宋_GBK" w:hAnsi="华文中宋" w:eastAsia="方正小标宋_GBK"/>
          <w:b/>
          <w:bCs/>
          <w:spacing w:val="3"/>
          <w:sz w:val="44"/>
          <w:szCs w:val="44"/>
          <w:highlight w:val="none"/>
          <w:shd w:val="clear" w:color="auto" w:fill="auto"/>
        </w:rPr>
      </w:pPr>
      <w:r>
        <w:rPr>
          <w:rFonts w:hint="eastAsia" w:ascii="方正小标宋_GBK" w:hAnsi="华文中宋" w:eastAsia="方正小标宋_GBK"/>
          <w:b/>
          <w:bCs/>
          <w:spacing w:val="3"/>
          <w:sz w:val="44"/>
          <w:szCs w:val="44"/>
          <w:highlight w:val="none"/>
          <w:shd w:val="clear" w:color="auto" w:fill="auto"/>
        </w:rPr>
        <w:t>惠州市国有建设用地使用权</w:t>
      </w:r>
    </w:p>
    <w:p>
      <w:pPr>
        <w:shd w:val="clear"/>
        <w:tabs>
          <w:tab w:val="left" w:pos="11340"/>
        </w:tabs>
        <w:spacing w:line="600" w:lineRule="exact"/>
        <w:jc w:val="center"/>
        <w:rPr>
          <w:rFonts w:ascii="方正小标宋_GBK" w:eastAsia="方正小标宋_GBK"/>
          <w:b/>
          <w:bCs/>
          <w:spacing w:val="3"/>
          <w:sz w:val="48"/>
          <w:highlight w:val="none"/>
          <w:shd w:val="clear" w:color="auto" w:fill="auto"/>
        </w:rPr>
      </w:pPr>
      <w:r>
        <w:rPr>
          <w:rFonts w:hint="eastAsia" w:ascii="方正小标宋_GBK" w:hAnsi="华文中宋" w:eastAsia="方正小标宋_GBK"/>
          <w:b/>
          <w:bCs/>
          <w:spacing w:val="3"/>
          <w:sz w:val="44"/>
          <w:szCs w:val="44"/>
          <w:highlight w:val="none"/>
          <w:shd w:val="clear" w:color="auto" w:fill="auto"/>
        </w:rPr>
        <w:t>网上挂牌</w:t>
      </w:r>
      <w:r>
        <w:rPr>
          <w:rFonts w:hint="eastAsia" w:ascii="方正小标宋_GBK" w:hAnsi="华文中宋" w:eastAsia="方正小标宋_GBK"/>
          <w:b/>
          <w:bCs/>
          <w:sz w:val="44"/>
          <w:szCs w:val="44"/>
          <w:highlight w:val="none"/>
          <w:shd w:val="clear" w:color="auto" w:fill="auto"/>
        </w:rPr>
        <w:t>出让须知</w:t>
      </w:r>
    </w:p>
    <w:p>
      <w:pPr>
        <w:shd w:val="clear"/>
        <w:spacing w:line="600" w:lineRule="exact"/>
        <w:jc w:val="center"/>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惠公易土市直[20</w:t>
      </w:r>
      <w:r>
        <w:rPr>
          <w:rFonts w:hint="eastAsia" w:ascii="仿宋_GB2312" w:hAnsi="仿宋_GB2312" w:eastAsia="仿宋_GB2312" w:cs="仿宋_GB2312"/>
          <w:sz w:val="32"/>
          <w:szCs w:val="32"/>
          <w:highlight w:val="none"/>
          <w:shd w:val="clear" w:color="auto" w:fill="auto"/>
          <w:lang w:val="en-US" w:eastAsia="zh-CN"/>
        </w:rPr>
        <w:t>22</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023</w:t>
      </w:r>
      <w:r>
        <w:rPr>
          <w:rFonts w:hint="eastAsia" w:ascii="仿宋_GB2312" w:hAnsi="仿宋_GB2312" w:eastAsia="仿宋_GB2312" w:cs="仿宋_GB2312"/>
          <w:sz w:val="32"/>
          <w:szCs w:val="32"/>
          <w:highlight w:val="none"/>
          <w:shd w:val="clear" w:color="auto" w:fill="auto"/>
        </w:rPr>
        <w:t>号</w:t>
      </w:r>
    </w:p>
    <w:p>
      <w:pPr>
        <w:shd w:val="clear"/>
        <w:rPr>
          <w:rFonts w:ascii="仿宋_GB2312" w:hAnsi="仿宋_GB2312" w:eastAsia="仿宋_GB2312" w:cs="仿宋_GB2312"/>
          <w:sz w:val="32"/>
          <w:szCs w:val="32"/>
          <w:highlight w:val="none"/>
          <w:shd w:val="clear" w:color="auto" w:fill="auto"/>
        </w:rPr>
      </w:pP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根据《中华人民共和国土地管理法》、《中华人民共和国城市房地产管理法》、《招标拍卖挂牌出让国有建设用地使用权规定》以及《招标拍卖挂牌出让国有土地使用权规范》等有关规定，经</w:t>
      </w:r>
      <w:r>
        <w:rPr>
          <w:rFonts w:hint="eastAsia" w:ascii="仿宋_GB2312" w:hAnsi="仿宋_GB2312" w:eastAsia="仿宋_GB2312" w:cs="仿宋_GB2312"/>
          <w:sz w:val="32"/>
          <w:szCs w:val="32"/>
          <w:highlight w:val="none"/>
          <w:shd w:val="clear" w:color="auto" w:fill="auto"/>
          <w:lang w:val="en-US" w:eastAsia="zh-CN"/>
        </w:rPr>
        <w:t>惠城区</w:t>
      </w:r>
      <w:r>
        <w:rPr>
          <w:rFonts w:hint="eastAsia" w:ascii="仿宋_GB2312" w:hAnsi="仿宋_GB2312" w:eastAsia="仿宋_GB2312" w:cs="仿宋_GB2312"/>
          <w:sz w:val="32"/>
          <w:szCs w:val="32"/>
          <w:highlight w:val="none"/>
          <w:shd w:val="clear" w:color="auto" w:fill="auto"/>
        </w:rPr>
        <w:t>人民政府批准，受惠州市</w:t>
      </w:r>
      <w:r>
        <w:rPr>
          <w:rFonts w:hint="eastAsia" w:ascii="仿宋_GB2312" w:hAnsi="仿宋_GB2312" w:eastAsia="仿宋_GB2312" w:cs="仿宋_GB2312"/>
          <w:sz w:val="32"/>
          <w:szCs w:val="32"/>
          <w:highlight w:val="none"/>
          <w:shd w:val="clear" w:color="auto" w:fill="auto"/>
          <w:lang w:val="en-US" w:eastAsia="zh-CN"/>
        </w:rPr>
        <w:t>惠城区</w:t>
      </w:r>
      <w:r>
        <w:rPr>
          <w:rFonts w:hint="eastAsia" w:ascii="仿宋_GB2312" w:hAnsi="仿宋_GB2312" w:eastAsia="仿宋_GB2312" w:cs="仿宋_GB2312"/>
          <w:sz w:val="32"/>
          <w:szCs w:val="32"/>
          <w:highlight w:val="none"/>
          <w:shd w:val="clear" w:color="auto" w:fill="auto"/>
        </w:rPr>
        <w:t>自然资源局委托，本中心以网上挂牌交易方式出让下列国有建设用地使用权。</w:t>
      </w:r>
      <w:bookmarkStart w:id="0" w:name="99"/>
      <w:bookmarkEnd w:id="0"/>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一、本次国有建设用地使用权网上挂牌出让的出让人为惠州市</w:t>
      </w:r>
      <w:r>
        <w:rPr>
          <w:rFonts w:hint="eastAsia" w:ascii="仿宋_GB2312" w:hAnsi="仿宋_GB2312" w:eastAsia="仿宋_GB2312" w:cs="仿宋_GB2312"/>
          <w:b/>
          <w:bCs/>
          <w:sz w:val="32"/>
          <w:szCs w:val="32"/>
          <w:highlight w:val="none"/>
          <w:shd w:val="clear" w:color="auto" w:fill="auto"/>
          <w:lang w:val="en-US" w:eastAsia="zh-CN"/>
        </w:rPr>
        <w:t>惠城区</w:t>
      </w:r>
      <w:r>
        <w:rPr>
          <w:rFonts w:hint="eastAsia" w:ascii="仿宋_GB2312" w:hAnsi="仿宋_GB2312" w:eastAsia="仿宋_GB2312" w:cs="仿宋_GB2312"/>
          <w:b/>
          <w:bCs/>
          <w:sz w:val="32"/>
          <w:szCs w:val="32"/>
          <w:highlight w:val="none"/>
          <w:shd w:val="clear" w:color="auto" w:fill="auto"/>
        </w:rPr>
        <w:t>自然资源局，具体组织实施由惠州市公共资源交易中心承办。</w:t>
      </w:r>
      <w:bookmarkStart w:id="1" w:name="100"/>
      <w:bookmarkEnd w:id="1"/>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二、本次国有建设用地使用权网上挂牌出让遵循公开、公平、公正和诚实信用原则。</w:t>
      </w:r>
      <w:bookmarkStart w:id="2" w:name="101"/>
      <w:bookmarkEnd w:id="2"/>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三、出让地块的基本情况及规划指标要求</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（一）挂牌地块编号：GP20</w:t>
      </w:r>
      <w:r>
        <w:rPr>
          <w:rFonts w:hint="eastAsia" w:ascii="仿宋_GB2312" w:hAnsi="仿宋_GB2312" w:eastAsia="仿宋_GB2312" w:cs="仿宋_GB2312"/>
          <w:sz w:val="32"/>
          <w:szCs w:val="32"/>
          <w:highlight w:val="none"/>
          <w:shd w:val="clear" w:color="auto" w:fill="auto"/>
          <w:lang w:val="en-US" w:eastAsia="zh-CN"/>
        </w:rPr>
        <w:t>22</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23</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（二）地块位置:惠州市惠城区高新科技产业园惠南大道SD15-01-01-02地块；</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 xml:space="preserve">    （三）地块编号：</w:t>
      </w:r>
      <w:r>
        <w:rPr>
          <w:rFonts w:hint="eastAsia" w:ascii="仿宋_GB2312" w:hAnsi="仿宋_GB2312" w:eastAsia="仿宋_GB2312" w:cs="仿宋_GB2312"/>
          <w:b w:val="0"/>
          <w:bCs w:val="0"/>
          <w:color w:val="000000"/>
          <w:kern w:val="0"/>
          <w:sz w:val="32"/>
          <w:szCs w:val="32"/>
          <w:lang w:val="en-US" w:eastAsia="zh-CN"/>
        </w:rPr>
        <w:t>SD15-01-01-02</w:t>
      </w:r>
      <w:r>
        <w:rPr>
          <w:rFonts w:hint="eastAsia" w:ascii="仿宋_GB2312" w:hAnsi="仿宋_GB2312" w:eastAsia="仿宋_GB2312" w:cs="仿宋_GB2312"/>
          <w:sz w:val="32"/>
          <w:szCs w:val="32"/>
          <w:highlight w:val="none"/>
          <w:shd w:val="clear" w:color="auto" w:fill="auto"/>
          <w:lang w:val="en-US" w:eastAsia="zh-CN"/>
        </w:rPr>
        <w:t>；</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（四）地块范围：平面界址点以宗地图为准，宗地竖向界限以</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val="en-US" w:eastAsia="zh-CN"/>
        </w:rPr>
        <w:t>建设用地规划设计条件</w:t>
      </w:r>
      <w:r>
        <w:rPr>
          <w:rFonts w:hint="eastAsia" w:ascii="仿宋_GB2312" w:hAnsi="宋体" w:eastAsia="仿宋_GB2312" w:cs="宋体"/>
          <w:color w:val="auto"/>
          <w:kern w:val="0"/>
          <w:sz w:val="32"/>
          <w:szCs w:val="32"/>
        </w:rPr>
        <w:t>》（</w:t>
      </w:r>
      <w:r>
        <w:rPr>
          <w:rFonts w:hint="eastAsia" w:ascii="仿宋_GB2312" w:hAnsi="仿宋_GB2312" w:eastAsia="仿宋_GB2312" w:cs="仿宋_GB2312"/>
          <w:sz w:val="32"/>
          <w:szCs w:val="32"/>
        </w:rPr>
        <w:t>PB202</w:t>
      </w:r>
      <w:r>
        <w:rPr>
          <w:rFonts w:hint="default"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lang w:val="en-US" w:eastAsia="zh-CN"/>
        </w:rPr>
        <w:t>24</w:t>
      </w:r>
      <w:r>
        <w:rPr>
          <w:rFonts w:hint="eastAsia" w:ascii="仿宋_GB2312" w:hAnsi="宋体" w:eastAsia="仿宋_GB2312" w:cs="宋体"/>
          <w:color w:val="auto"/>
          <w:kern w:val="0"/>
          <w:sz w:val="32"/>
          <w:szCs w:val="32"/>
          <w:lang w:val="en-US" w:eastAsia="zh-CN"/>
        </w:rPr>
        <w:t>号</w:t>
      </w:r>
      <w:r>
        <w:rPr>
          <w:rFonts w:hint="eastAsia" w:ascii="仿宋_GB2312" w:hAnsi="宋体" w:eastAsia="仿宋_GB2312" w:cs="宋体"/>
          <w:color w:val="auto"/>
          <w:kern w:val="0"/>
          <w:sz w:val="32"/>
          <w:szCs w:val="32"/>
        </w:rPr>
        <w:t>）</w:t>
      </w:r>
      <w:r>
        <w:rPr>
          <w:rFonts w:hint="eastAsia" w:ascii="仿宋_GB2312" w:hAnsi="仿宋_GB2312" w:eastAsia="仿宋_GB2312" w:cs="仿宋_GB2312"/>
          <w:sz w:val="32"/>
          <w:szCs w:val="32"/>
          <w:highlight w:val="none"/>
          <w:shd w:val="clear" w:color="auto" w:fill="auto"/>
        </w:rPr>
        <w:t>规定为准；</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宗地使用权面积为：</w:t>
      </w:r>
      <w:r>
        <w:rPr>
          <w:rFonts w:hint="eastAsia" w:ascii="仿宋_GB2312" w:hAnsi="仿宋_GB2312" w:eastAsia="仿宋_GB2312" w:cs="仿宋_GB2312"/>
          <w:b w:val="0"/>
          <w:bCs w:val="0"/>
          <w:color w:val="000000"/>
          <w:kern w:val="0"/>
          <w:sz w:val="32"/>
          <w:szCs w:val="32"/>
          <w:lang w:val="en-US" w:eastAsia="zh-CN"/>
        </w:rPr>
        <w:t>11774.97</w:t>
      </w:r>
      <w:r>
        <w:rPr>
          <w:rFonts w:hint="eastAsia" w:ascii="仿宋_GB2312" w:hAnsi="仿宋_GB2312" w:eastAsia="仿宋_GB2312" w:cs="仿宋_GB2312"/>
          <w:sz w:val="32"/>
          <w:szCs w:val="32"/>
          <w:highlight w:val="none"/>
          <w:shd w:val="clear" w:color="auto" w:fill="auto"/>
          <w:lang w:val="en-US" w:eastAsia="zh-CN"/>
        </w:rPr>
        <w:t>平方米；</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（六）计算指标用地面积为：</w:t>
      </w:r>
      <w:r>
        <w:rPr>
          <w:rFonts w:hint="eastAsia" w:ascii="仿宋_GB2312" w:hAnsi="仿宋_GB2312" w:eastAsia="仿宋_GB2312" w:cs="仿宋_GB2312"/>
          <w:b w:val="0"/>
          <w:bCs w:val="0"/>
          <w:color w:val="000000"/>
          <w:kern w:val="0"/>
          <w:sz w:val="32"/>
          <w:szCs w:val="32"/>
          <w:lang w:val="en-US" w:eastAsia="zh-CN"/>
        </w:rPr>
        <w:t>16028.92</w:t>
      </w:r>
      <w:r>
        <w:rPr>
          <w:rFonts w:hint="eastAsia" w:ascii="仿宋_GB2312" w:hAnsi="仿宋_GB2312" w:eastAsia="仿宋_GB2312" w:cs="仿宋_GB2312"/>
          <w:sz w:val="32"/>
          <w:szCs w:val="32"/>
          <w:highlight w:val="none"/>
          <w:shd w:val="clear" w:color="auto" w:fill="auto"/>
          <w:lang w:val="en-US" w:eastAsia="zh-CN"/>
        </w:rPr>
        <w:t>平方米；</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（七）计容积率建筑面积：25647-40072平方米（其中配套设施面积≥95平方米）；</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（八）容积率为：1.6-2.5；</w:t>
      </w:r>
    </w:p>
    <w:p>
      <w:pPr>
        <w:shd w:val="clear"/>
        <w:tabs>
          <w:tab w:val="left" w:pos="3388"/>
        </w:tabs>
        <w:spacing w:line="560" w:lineRule="exact"/>
        <w:ind w:firstLine="640" w:firstLineChars="200"/>
        <w:jc w:val="left"/>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（九）建筑系数：≥30%；</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（十）土地用途为：一类工业用地；</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（十一）土地使用权出让年限为：50年；</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（十二）产业类型：电气机械及器材制造业；</w:t>
      </w:r>
    </w:p>
    <w:p>
      <w:pPr>
        <w:shd w:val="clear"/>
        <w:tabs>
          <w:tab w:val="left" w:pos="3388"/>
        </w:tabs>
        <w:spacing w:line="560" w:lineRule="exact"/>
        <w:ind w:firstLine="640" w:firstLineChars="200"/>
        <w:jc w:val="left"/>
        <w:rPr>
          <w:rFonts w:hint="eastAsia"/>
          <w:lang w:val="en-US" w:eastAsia="zh-CN"/>
        </w:rPr>
      </w:pPr>
      <w:r>
        <w:rPr>
          <w:rFonts w:hint="eastAsia" w:ascii="仿宋_GB2312" w:hAnsi="仿宋_GB2312" w:eastAsia="仿宋_GB2312" w:cs="仿宋_GB2312"/>
          <w:sz w:val="32"/>
          <w:szCs w:val="32"/>
          <w:highlight w:val="none"/>
          <w:shd w:val="clear" w:color="auto" w:fill="auto"/>
          <w:lang w:val="en-US" w:eastAsia="zh-CN"/>
        </w:rPr>
        <w:t>（十三）绿地率：15-20%；</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（十四） 动工及竣工时间：该地块动工时间为地块交付之日起一年内，竣工时间为土地交付之日起三年内（因不可抗拒因素除外）；</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 xml:space="preserve">（十五）本地块交付时间为《国有土地使用权出让合同》签订之日。 </w:t>
      </w:r>
    </w:p>
    <w:p>
      <w:pPr>
        <w:shd w:val="clear"/>
        <w:tabs>
          <w:tab w:val="left" w:pos="3388"/>
        </w:tabs>
        <w:spacing w:line="560" w:lineRule="exact"/>
        <w:jc w:val="left"/>
        <w:rPr>
          <w:rFonts w:hint="eastAsia"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四、土地开发及使用规定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_GB2312" w:eastAsia="仿宋_GB2312" w:cs="仿宋_GB2312"/>
          <w:sz w:val="32"/>
          <w:szCs w:val="32"/>
          <w:lang w:val="en-US" w:eastAsia="zh-CN"/>
        </w:rPr>
        <w:t>16029</w:t>
      </w:r>
      <w:r>
        <w:rPr>
          <w:rFonts w:hint="eastAsia" w:ascii="仿宋_GB2312" w:hAnsi="仿宋_GB2312" w:eastAsia="仿宋_GB2312" w:cs="仿宋_GB2312"/>
          <w:sz w:val="32"/>
          <w:szCs w:val="32"/>
        </w:rPr>
        <w:t>万元（含地价）。</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kern w:val="2"/>
          <w:sz w:val="32"/>
          <w:szCs w:val="32"/>
          <w:lang w:val="en-US" w:eastAsia="zh-CN" w:bidi="ar-SA"/>
        </w:rPr>
        <w:t>竞得人在用地红线内开发建设必须符合城市规划要求，必须按</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val="en-US" w:eastAsia="zh-CN"/>
        </w:rPr>
        <w:t>建设用地规划设计条件</w:t>
      </w:r>
      <w:r>
        <w:rPr>
          <w:rFonts w:hint="eastAsia" w:ascii="仿宋_GB2312" w:hAnsi="宋体" w:eastAsia="仿宋_GB2312" w:cs="宋体"/>
          <w:color w:val="auto"/>
          <w:kern w:val="0"/>
          <w:sz w:val="32"/>
          <w:szCs w:val="32"/>
        </w:rPr>
        <w:t>》（</w:t>
      </w:r>
      <w:r>
        <w:rPr>
          <w:rFonts w:hint="eastAsia" w:ascii="仿宋_GB2312" w:hAnsi="仿宋_GB2312" w:eastAsia="仿宋_GB2312" w:cs="仿宋_GB2312"/>
          <w:sz w:val="32"/>
          <w:szCs w:val="32"/>
        </w:rPr>
        <w:t>PB202</w:t>
      </w:r>
      <w:r>
        <w:rPr>
          <w:rFonts w:hint="default"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lang w:val="en-US" w:eastAsia="zh-CN"/>
        </w:rPr>
        <w:t>24</w:t>
      </w:r>
      <w:r>
        <w:rPr>
          <w:rFonts w:hint="eastAsia" w:ascii="仿宋_GB2312" w:hAnsi="宋体" w:eastAsia="仿宋_GB2312" w:cs="宋体"/>
          <w:color w:val="auto"/>
          <w:kern w:val="0"/>
          <w:sz w:val="32"/>
          <w:szCs w:val="32"/>
          <w:lang w:val="en-US" w:eastAsia="zh-CN"/>
        </w:rPr>
        <w:t>号</w:t>
      </w:r>
      <w:r>
        <w:rPr>
          <w:rFonts w:hint="eastAsia" w:ascii="仿宋_GB2312" w:hAnsi="宋体" w:eastAsia="仿宋_GB2312" w:cs="宋体"/>
          <w:color w:val="auto"/>
          <w:kern w:val="0"/>
          <w:sz w:val="32"/>
          <w:szCs w:val="32"/>
        </w:rPr>
        <w:t>）</w:t>
      </w:r>
      <w:r>
        <w:rPr>
          <w:rFonts w:hint="eastAsia" w:ascii="仿宋_GB2312" w:hAnsi="仿宋_GB2312" w:cs="仿宋_GB2312"/>
          <w:kern w:val="2"/>
          <w:sz w:val="32"/>
          <w:szCs w:val="32"/>
          <w:lang w:val="en-US" w:eastAsia="zh-CN" w:bidi="ar-SA"/>
        </w:rPr>
        <w:t>的</w:t>
      </w:r>
      <w:r>
        <w:rPr>
          <w:rFonts w:hint="eastAsia" w:ascii="仿宋_GB2312" w:hAnsi="仿宋_GB2312" w:eastAsia="仿宋_GB2312" w:cs="仿宋_GB2312"/>
          <w:kern w:val="2"/>
          <w:sz w:val="32"/>
          <w:szCs w:val="32"/>
          <w:lang w:val="en-US" w:eastAsia="zh-CN" w:bidi="ar-SA"/>
        </w:rPr>
        <w:t>规划控制指标要求及有关规定进行规划设计</w:t>
      </w:r>
      <w:r>
        <w:rPr>
          <w:rFonts w:hint="eastAsia" w:ascii="仿宋_GB2312" w:hAnsi="宋体" w:eastAsia="仿宋_GB2312" w:cs="宋体"/>
          <w:color w:val="auto"/>
          <w:kern w:val="0"/>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项目规划建设方案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lang w:val="en-US" w:eastAsia="zh-CN" w:bidi="ar-SA"/>
        </w:rPr>
      </w:pPr>
      <w:r>
        <w:rPr>
          <w:rFonts w:hint="eastAsia" w:ascii="仿宋_GB2312" w:hAnsi="仿宋_GB2312" w:eastAsia="仿宋_GB2312" w:cs="仿宋_GB2312"/>
          <w:color w:val="auto"/>
          <w:sz w:val="32"/>
          <w:szCs w:val="32"/>
          <w:lang w:eastAsia="zh-CN"/>
        </w:rPr>
        <w:t>所报总平面图的主要技术经济指标：</w:t>
      </w:r>
      <w:r>
        <w:rPr>
          <w:rFonts w:hint="eastAsia" w:ascii="仿宋_GB2312" w:hAnsi="宋体" w:eastAsia="仿宋_GB2312" w:cs="宋体"/>
          <w:kern w:val="0"/>
          <w:sz w:val="32"/>
          <w:szCs w:val="32"/>
          <w:lang w:val="en-US" w:eastAsia="zh-CN" w:bidi="ar-SA"/>
        </w:rPr>
        <w:t>规划布局2栋厂房1栋宿舍楼1间门卫室，地上最高10层，建筑高度最高49.8米，主要技术经济指标：计算指标用地面积16028.92平方米，计容积率建筑面积40072平方米（其中生活服务设施建筑面积占比18.3%），容积率2.5，建筑密度40.1％（其中生活服务设施基底面积占用地面积比5.2%），绿地率15％，机动车停车位173个（地面53个，地下120个）。所报方案符合《建设用地规划设计条件》（PB20220024）要求。须按程序进行公示，公示期未收到公众意见，则同意所报总平面图及单体建筑设计方案。建设单位须同步做好管线综合设计报审，排水设计应实施雨污分流，建筑设计须符合国家、省、市有关绿色建筑和建筑节能方面的技术规范和标准，须按海绵城市设计要求做好设计及施工，本项目应按照《惠州市人民政府办公室关于大力发展装配式建筑的实施意见》（惠府办〔2019〕10号）的要求执行，停车场须按不低于总停车位的10%的比例配置充电设施。须按人防相关文件、规范要求做好人防设计及施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招商条件</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投资强度不低于10000元/平方米，土地产出率（</w:t>
      </w:r>
      <w:r>
        <w:rPr>
          <w:rFonts w:hint="eastAsia" w:ascii="仿宋_GB2312" w:hAnsi="宋体" w:eastAsia="仿宋_GB2312" w:cs="宋体"/>
          <w:kern w:val="0"/>
          <w:sz w:val="32"/>
          <w:szCs w:val="32"/>
          <w:lang w:val="en-US" w:eastAsia="zh-CN"/>
        </w:rPr>
        <w:t>工业产值</w:t>
      </w:r>
      <w:r>
        <w:rPr>
          <w:rFonts w:hint="eastAsia" w:ascii="仿宋_GB2312" w:hAnsi="宋体" w:eastAsia="仿宋_GB2312" w:cs="宋体"/>
          <w:kern w:val="0"/>
          <w:sz w:val="32"/>
          <w:szCs w:val="32"/>
          <w:lang w:eastAsia="zh-CN"/>
        </w:rPr>
        <w:t>）不低于20000元/平方米/年，税收产出不低于1000元/平方米/年。其中，土地产出率及税收产出，在项目投产后3年内逐年考核，3年内的平均值不得低于上述标准。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向自然资源部门申请，经惠城区人民政府备案同意，并符合惠城区产业发展方向及项目入区审核标准。本宗地交付乙方后,乙方须向惠州市惠城区高新科技产业园管理委员会提交项目投资计划书和时间安排表，并按月向惠州市惠城区高新科技产业园管理委员会书面报告项目进展情况，直至项目投产。</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竞得人在签订《成交确认书》前，须与</w:t>
      </w:r>
      <w:r>
        <w:rPr>
          <w:rFonts w:hint="eastAsia" w:ascii="仿宋_GB2312" w:hAnsi="宋体" w:eastAsia="仿宋_GB2312" w:cs="宋体"/>
          <w:kern w:val="0"/>
          <w:sz w:val="32"/>
          <w:szCs w:val="32"/>
          <w:lang w:eastAsia="zh-CN"/>
        </w:rPr>
        <w:t>惠州市惠城区高新科技产业园管理委员会</w:t>
      </w:r>
      <w:r>
        <w:rPr>
          <w:rFonts w:hint="eastAsia" w:ascii="仿宋_GB2312" w:hAnsi="仿宋_GB2312" w:eastAsia="仿宋_GB2312" w:cs="仿宋_GB2312"/>
          <w:color w:val="auto"/>
          <w:sz w:val="32"/>
          <w:szCs w:val="32"/>
        </w:rPr>
        <w:t>签订《</w:t>
      </w:r>
      <w:r>
        <w:rPr>
          <w:rFonts w:hint="eastAsia" w:ascii="仿宋_GB2312" w:hAnsi="仿宋_GB2312" w:eastAsia="仿宋_GB2312" w:cs="仿宋_GB2312"/>
          <w:color w:val="auto"/>
          <w:sz w:val="32"/>
          <w:szCs w:val="32"/>
          <w:lang w:eastAsia="zh-CN"/>
        </w:rPr>
        <w:t>项目实施监管协议书</w:t>
      </w:r>
      <w:r>
        <w:rPr>
          <w:rFonts w:hint="eastAsia" w:ascii="仿宋_GB2312" w:hAnsi="仿宋_GB2312" w:eastAsia="仿宋_GB2312" w:cs="仿宋_GB2312"/>
          <w:color w:val="auto"/>
          <w:sz w:val="32"/>
          <w:szCs w:val="32"/>
        </w:rPr>
        <w:t>》，并由</w:t>
      </w:r>
      <w:r>
        <w:rPr>
          <w:rFonts w:hint="eastAsia" w:ascii="仿宋_GB2312" w:hAnsi="宋体" w:eastAsia="仿宋_GB2312" w:cs="宋体"/>
          <w:kern w:val="0"/>
          <w:sz w:val="32"/>
          <w:szCs w:val="32"/>
          <w:lang w:eastAsia="zh-CN"/>
        </w:rPr>
        <w:t>惠州市惠城区高新科技产业园管理委员会</w:t>
      </w:r>
      <w:r>
        <w:rPr>
          <w:rFonts w:hint="eastAsia" w:ascii="仿宋_GB2312" w:hAnsi="仿宋_GB2312" w:eastAsia="仿宋_GB2312" w:cs="仿宋_GB2312"/>
          <w:color w:val="auto"/>
          <w:sz w:val="32"/>
          <w:szCs w:val="32"/>
        </w:rPr>
        <w:t>对项目用地实施批后监管。</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项目实施监管协议书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详见挂牌文件附件，网址：https://www.hzgtjy.com/）</w:t>
      </w:r>
    </w:p>
    <w:p>
      <w:pPr>
        <w:pStyle w:val="2"/>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七）其他条件：</w:t>
      </w:r>
      <w:r>
        <w:rPr>
          <w:rFonts w:hint="eastAsia" w:ascii="Times New Roman" w:hAnsi="Times New Roman" w:eastAsia="仿宋_GB2312" w:cs="仿宋_GB2312"/>
          <w:kern w:val="2"/>
          <w:sz w:val="32"/>
          <w:szCs w:val="32"/>
          <w:lang w:val="en-US" w:eastAsia="zh-CN" w:bidi="ar-SA"/>
        </w:rPr>
        <w:t>按照控规要求，取得上述宗地权利人</w:t>
      </w:r>
      <w:r>
        <w:rPr>
          <w:rFonts w:hint="default" w:ascii="Times New Roman" w:hAnsi="Times New Roman" w:eastAsia="仿宋_GB2312" w:cs="仿宋_GB2312"/>
          <w:kern w:val="2"/>
          <w:sz w:val="32"/>
          <w:szCs w:val="32"/>
          <w:lang w:val="en-US" w:eastAsia="zh-CN" w:bidi="ar-SA"/>
        </w:rPr>
        <w:t>需配建供电开关</w:t>
      </w:r>
      <w:r>
        <w:rPr>
          <w:rFonts w:hint="eastAsia" w:ascii="Times New Roman" w:hAnsi="Times New Roman" w:eastAsia="仿宋_GB2312" w:cs="仿宋_GB2312"/>
          <w:kern w:val="2"/>
          <w:sz w:val="32"/>
          <w:szCs w:val="32"/>
          <w:lang w:val="en-US" w:eastAsia="zh-CN" w:bidi="ar-SA"/>
        </w:rPr>
        <w:t>站</w:t>
      </w:r>
      <w:r>
        <w:rPr>
          <w:rFonts w:hint="default" w:ascii="Times New Roman" w:hAnsi="Times New Roman" w:eastAsia="仿宋_GB2312" w:cs="仿宋_GB2312"/>
          <w:kern w:val="2"/>
          <w:sz w:val="32"/>
          <w:szCs w:val="32"/>
          <w:lang w:val="en-US" w:eastAsia="zh-CN" w:bidi="ar-SA"/>
        </w:rPr>
        <w:t>配套用房，建成后无偿交给惠城区政府相关部门管理使用。</w:t>
      </w:r>
    </w:p>
    <w:p>
      <w:pPr>
        <w:shd w:val="clear"/>
        <w:tabs>
          <w:tab w:val="left" w:pos="3388"/>
        </w:tabs>
        <w:spacing w:line="560" w:lineRule="exact"/>
        <w:jc w:val="left"/>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b/>
          <w:bCs/>
          <w:kern w:val="2"/>
          <w:sz w:val="32"/>
          <w:szCs w:val="32"/>
          <w:highlight w:val="none"/>
          <w:shd w:val="clear" w:color="auto" w:fill="auto"/>
          <w:lang w:val="en-US" w:eastAsia="zh-CN" w:bidi="ar-SA"/>
        </w:rPr>
        <w:t>五、竞买资格及要求</w:t>
      </w:r>
    </w:p>
    <w:p>
      <w:pPr>
        <w:shd w:val="clear"/>
        <w:tabs>
          <w:tab w:val="left" w:pos="3388"/>
        </w:tabs>
        <w:spacing w:line="560" w:lineRule="exact"/>
        <w:ind w:firstLine="640" w:firstLineChars="200"/>
        <w:jc w:val="left"/>
        <w:rPr>
          <w:rFonts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中华人民共和国境内外的法人和其他组织（除法律法规另有规定外），均可申请参加竞买。申请人可以单独申请，也可以联合申请。申请人还应具备下列条件：</w:t>
      </w:r>
    </w:p>
    <w:p>
      <w:pPr>
        <w:shd w:val="clear"/>
        <w:tabs>
          <w:tab w:val="left" w:pos="3388"/>
        </w:tabs>
        <w:spacing w:line="560" w:lineRule="exact"/>
        <w:ind w:firstLine="640" w:firstLineChars="200"/>
        <w:jc w:val="left"/>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lang w:eastAsia="zh-CN"/>
        </w:rPr>
        <w:t>（</w:t>
      </w:r>
      <w:r>
        <w:rPr>
          <w:rFonts w:hint="eastAsia" w:ascii="仿宋_GB2312" w:hAnsi="仿宋_GB2312" w:eastAsia="仿宋_GB2312" w:cs="仿宋_GB2312"/>
          <w:kern w:val="0"/>
          <w:sz w:val="32"/>
          <w:szCs w:val="32"/>
          <w:highlight w:val="none"/>
          <w:shd w:val="clear" w:color="auto" w:fill="auto"/>
          <w:lang w:val="en-US" w:eastAsia="zh-CN"/>
        </w:rPr>
        <w:t>一</w:t>
      </w:r>
      <w:r>
        <w:rPr>
          <w:rFonts w:hint="eastAsia" w:ascii="仿宋_GB2312" w:hAnsi="仿宋_GB2312" w:eastAsia="仿宋_GB2312" w:cs="仿宋_GB2312"/>
          <w:kern w:val="0"/>
          <w:sz w:val="32"/>
          <w:szCs w:val="32"/>
          <w:highlight w:val="none"/>
          <w:shd w:val="clear" w:color="auto" w:fill="auto"/>
          <w:lang w:eastAsia="zh-CN"/>
        </w:rPr>
        <w:t>）</w:t>
      </w:r>
      <w:r>
        <w:rPr>
          <w:rFonts w:hint="eastAsia" w:ascii="仿宋_GB2312" w:hAnsi="仿宋_GB2312" w:eastAsia="仿宋_GB2312" w:cs="仿宋_GB2312"/>
          <w:kern w:val="0"/>
          <w:sz w:val="32"/>
          <w:szCs w:val="32"/>
          <w:highlight w:val="none"/>
          <w:shd w:val="clear" w:color="auto" w:fill="auto"/>
        </w:rPr>
        <w:t>按时足额交纳竞买保证金</w:t>
      </w:r>
      <w:r>
        <w:rPr>
          <w:rFonts w:hint="eastAsia" w:ascii="仿宋_GB2312" w:hAnsi="仿宋_GB2312" w:eastAsia="仿宋_GB2312" w:cs="仿宋_GB2312"/>
          <w:kern w:val="0"/>
          <w:sz w:val="32"/>
          <w:szCs w:val="32"/>
          <w:highlight w:val="none"/>
          <w:shd w:val="clear" w:color="auto" w:fill="auto"/>
          <w:lang w:eastAsia="zh-CN"/>
        </w:rPr>
        <w:t>，</w:t>
      </w:r>
      <w:r>
        <w:rPr>
          <w:rFonts w:hint="eastAsia" w:ascii="仿宋_GB2312" w:hAnsi="仿宋_GB2312" w:eastAsia="仿宋_GB2312" w:cs="仿宋_GB2312"/>
          <w:kern w:val="0"/>
          <w:sz w:val="32"/>
          <w:szCs w:val="32"/>
          <w:highlight w:val="none"/>
          <w:shd w:val="clear" w:color="auto" w:fill="auto"/>
        </w:rPr>
        <w:t>竞买人缴交的竞买保证金为人民币</w:t>
      </w:r>
      <w:r>
        <w:rPr>
          <w:rFonts w:hint="eastAsia" w:ascii="仿宋_GB2312" w:hAnsi="仿宋_GB2312" w:eastAsia="仿宋_GB2312" w:cs="仿宋_GB2312"/>
          <w:kern w:val="0"/>
          <w:sz w:val="32"/>
          <w:szCs w:val="32"/>
          <w:highlight w:val="none"/>
          <w:shd w:val="clear" w:color="auto" w:fill="auto"/>
          <w:lang w:val="en-US" w:eastAsia="zh-CN"/>
        </w:rPr>
        <w:t>492</w:t>
      </w:r>
      <w:r>
        <w:rPr>
          <w:rFonts w:hint="eastAsia" w:ascii="仿宋_GB2312" w:hAnsi="仿宋_GB2312" w:eastAsia="仿宋_GB2312" w:cs="仿宋_GB2312"/>
          <w:kern w:val="0"/>
          <w:sz w:val="32"/>
          <w:szCs w:val="32"/>
          <w:highlight w:val="none"/>
          <w:shd w:val="clear" w:color="auto" w:fill="auto"/>
        </w:rPr>
        <w:t>万元。</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w:t>
      </w:r>
      <w:r>
        <w:rPr>
          <w:rFonts w:hint="eastAsia" w:ascii="仿宋_GB2312" w:hAnsi="仿宋_GB2312" w:eastAsia="仿宋_GB2312" w:cs="仿宋_GB2312"/>
          <w:kern w:val="0"/>
          <w:sz w:val="32"/>
          <w:szCs w:val="32"/>
          <w:highlight w:val="none"/>
          <w:shd w:val="clear" w:color="auto" w:fill="auto"/>
          <w:lang w:val="en-US" w:eastAsia="zh-CN"/>
        </w:rPr>
        <w:t>二</w:t>
      </w:r>
      <w:r>
        <w:rPr>
          <w:rFonts w:hint="eastAsia" w:ascii="仿宋_GB2312" w:hAnsi="仿宋_GB2312" w:eastAsia="仿宋_GB2312" w:cs="仿宋_GB2312"/>
          <w:kern w:val="0"/>
          <w:sz w:val="32"/>
          <w:szCs w:val="32"/>
          <w:highlight w:val="none"/>
          <w:shd w:val="clear" w:color="auto" w:fill="auto"/>
        </w:rPr>
        <w:t>）预先办理数字证书。本次国有建设用地使用权网上挂牌出让只能在互联网上，通过惠州市公共资源交易</w:t>
      </w:r>
      <w:r>
        <w:rPr>
          <w:rFonts w:hint="eastAsia" w:ascii="仿宋_GB2312" w:hAnsi="仿宋_GB2312" w:eastAsia="仿宋_GB2312" w:cs="仿宋_GB2312"/>
          <w:sz w:val="32"/>
          <w:szCs w:val="32"/>
          <w:highlight w:val="none"/>
          <w:shd w:val="clear" w:color="auto" w:fill="auto"/>
        </w:rPr>
        <w:t>中心土地与矿业网上挂牌交易系统（</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，以下简称“网上挂牌交易系统”）进行。只有通过网上注册、办理数字证书、按要求足额交付竞买保证金的申请人，才能参加网上挂牌交易活动。</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三</w:t>
      </w:r>
      <w:r>
        <w:rPr>
          <w:rFonts w:hint="eastAsia" w:ascii="仿宋_GB2312" w:hAnsi="仿宋_GB2312" w:eastAsia="仿宋_GB2312" w:cs="仿宋_GB2312"/>
          <w:sz w:val="32"/>
          <w:szCs w:val="32"/>
          <w:highlight w:val="none"/>
          <w:shd w:val="clear" w:color="auto" w:fill="auto"/>
        </w:rPr>
        <w:t>）</w:t>
      </w:r>
      <w:r>
        <w:rPr>
          <w:rFonts w:hint="eastAsia" w:ascii="仿宋_GB2312" w:hAnsi="宋体" w:eastAsia="仿宋_GB2312" w:cs="宋体"/>
          <w:color w:val="auto"/>
          <w:kern w:val="0"/>
          <w:sz w:val="32"/>
          <w:szCs w:val="32"/>
          <w:highlight w:val="none"/>
          <w:shd w:val="clear" w:color="auto" w:fill="auto"/>
          <w:lang w:val="en-US" w:eastAsia="zh-CN" w:bidi="ar-SA"/>
        </w:rPr>
        <w:t>存在下列违法违规违约行为之一的企业及其控股股东，不得参与竞买上述地块</w:t>
      </w:r>
      <w:r>
        <w:rPr>
          <w:rFonts w:hint="eastAsia" w:ascii="仿宋_GB2312" w:hAnsi="仿宋_GB2312" w:eastAsia="仿宋_GB2312" w:cs="仿宋_GB2312"/>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1.</w:t>
      </w:r>
      <w:r>
        <w:rPr>
          <w:rFonts w:hint="eastAsia" w:ascii="仿宋" w:hAnsi="仿宋" w:eastAsia="仿宋"/>
          <w:sz w:val="32"/>
          <w:szCs w:val="32"/>
        </w:rPr>
        <w:t>因企业原因造成土地闲置一年以上的</w:t>
      </w:r>
      <w:r>
        <w:rPr>
          <w:rFonts w:hint="eastAsia" w:ascii="仿宋" w:hAnsi="仿宋" w:eastAsia="仿宋"/>
          <w:sz w:val="32"/>
          <w:szCs w:val="32"/>
          <w:lang w:val="en-US" w:eastAsia="zh-CN"/>
        </w:rPr>
        <w:t>且至报名日止未处罚完结的</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2.</w:t>
      </w:r>
      <w:r>
        <w:rPr>
          <w:rFonts w:hint="eastAsia" w:ascii="仿宋" w:hAnsi="仿宋" w:eastAsia="仿宋"/>
          <w:sz w:val="32"/>
          <w:szCs w:val="32"/>
        </w:rPr>
        <w:t>存在伪造公文骗取用地和非法倒卖土地等犯罪行为的</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3.</w:t>
      </w:r>
      <w:r>
        <w:rPr>
          <w:rFonts w:hint="eastAsia" w:ascii="仿宋" w:hAnsi="仿宋" w:eastAsia="仿宋"/>
          <w:sz w:val="32"/>
          <w:szCs w:val="32"/>
        </w:rPr>
        <w:t>存在非法转让土地使用权等违法行为的</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4.</w:t>
      </w:r>
      <w:r>
        <w:rPr>
          <w:rFonts w:hint="eastAsia" w:ascii="仿宋" w:hAnsi="仿宋" w:eastAsia="仿宋"/>
          <w:sz w:val="32"/>
          <w:szCs w:val="32"/>
        </w:rPr>
        <w:t>开发建设企业违背出让合同约定条件开发利用土地的</w:t>
      </w:r>
      <w:r>
        <w:rPr>
          <w:rFonts w:hint="eastAsia" w:ascii="仿宋" w:hAnsi="仿宋" w:eastAsia="仿宋"/>
          <w:sz w:val="32"/>
          <w:szCs w:val="32"/>
          <w:lang w:val="en-US" w:eastAsia="zh-CN"/>
        </w:rPr>
        <w:t>且至报名日止未处罚完结的</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 w:cs="宋体"/>
          <w:color w:val="auto"/>
          <w:kern w:val="0"/>
          <w:sz w:val="32"/>
          <w:szCs w:val="32"/>
          <w:highlight w:val="none"/>
          <w:shd w:val="clear" w:color="auto" w:fill="auto"/>
          <w:lang w:val="en-US" w:eastAsia="zh-CN" w:bidi="ar-SA"/>
        </w:rPr>
      </w:pPr>
      <w:r>
        <w:rPr>
          <w:rFonts w:hint="eastAsia" w:ascii="仿宋" w:hAnsi="仿宋" w:eastAsia="仿宋"/>
          <w:sz w:val="32"/>
          <w:szCs w:val="32"/>
          <w:lang w:val="en-US" w:eastAsia="zh-CN"/>
        </w:rPr>
        <w:t>5.至报名日仍</w:t>
      </w:r>
      <w:r>
        <w:rPr>
          <w:rFonts w:hint="eastAsia" w:ascii="仿宋" w:hAnsi="仿宋" w:eastAsia="仿宋"/>
          <w:sz w:val="32"/>
          <w:szCs w:val="32"/>
        </w:rPr>
        <w:t>拖欠政府地价款的</w:t>
      </w:r>
      <w:r>
        <w:rPr>
          <w:rFonts w:hint="eastAsia" w:ascii="仿宋" w:hAnsi="仿宋" w:eastAsia="仿宋"/>
          <w:sz w:val="32"/>
          <w:szCs w:val="32"/>
          <w:lang w:eastAsia="zh-CN"/>
        </w:rPr>
        <w:t>。</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六、违约及处理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竞得人有下列行为之一的，视为违约，取消竞得人资格，</w:t>
      </w:r>
      <w:r>
        <w:rPr>
          <w:rFonts w:hint="eastAsia" w:ascii="仿宋_GB2312" w:hAnsi="仿宋_GB2312" w:eastAsia="仿宋_GB2312" w:cs="仿宋_GB2312"/>
          <w:sz w:val="32"/>
          <w:szCs w:val="32"/>
          <w:highlight w:val="none"/>
          <w:shd w:val="clear" w:color="auto" w:fill="auto"/>
          <w:lang w:val="en-US" w:eastAsia="zh-CN"/>
        </w:rPr>
        <w:t>定金不予退还,</w:t>
      </w:r>
      <w:r>
        <w:rPr>
          <w:rFonts w:hint="eastAsia" w:ascii="仿宋_GB2312" w:hAnsi="仿宋_GB2312" w:eastAsia="仿宋_GB2312" w:cs="仿宋_GB2312"/>
          <w:sz w:val="32"/>
          <w:szCs w:val="32"/>
          <w:highlight w:val="none"/>
          <w:shd w:val="clear" w:color="auto" w:fill="auto"/>
        </w:rPr>
        <w:t>并由有关部门依法处理;造成损失的，竞得人还应依法承担赔偿责任：</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 xml:space="preserve">   （一）不符合竞买资格条件的</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 xml:space="preserve">   （二）采取行贿、恶意串通等非法手段竞得的</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 xml:space="preserve">   （三）竞得人以其他非法手段竞得的</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 xml:space="preserve">   （四）竞得人逾期或拒绝签订《成交确认书》的</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 xml:space="preserve">   （五）竞得人逾期或拒绝签订《出让合同》的</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 xml:space="preserve">   （六）不按本须知规定提供有关纸质文件材料，或提供虚假文件材料、隐瞒重要事实，引起交易纠纷的</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（七）构成违约责任的其他行为。</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七、网上挂牌出让地块的起始价、增加幅度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rPr>
        <w:t>挂牌起始价为人民币</w:t>
      </w:r>
      <w:r>
        <w:rPr>
          <w:rFonts w:hint="eastAsia" w:ascii="仿宋_GB2312" w:hAnsi="仿宋_GB2312" w:eastAsia="仿宋_GB2312" w:cs="仿宋_GB2312"/>
          <w:color w:val="auto"/>
          <w:sz w:val="32"/>
          <w:szCs w:val="32"/>
          <w:highlight w:val="none"/>
          <w:u w:val="single"/>
          <w:shd w:val="clear" w:color="auto" w:fill="auto"/>
          <w:lang w:val="en-US" w:eastAsia="zh-CN"/>
        </w:rPr>
        <w:t>壹仟陆佰肆拾万元整</w:t>
      </w:r>
      <w:r>
        <w:rPr>
          <w:rFonts w:hint="eastAsia" w:ascii="仿宋_GB2312" w:hAnsi="仿宋_GB2312" w:eastAsia="仿宋_GB2312" w:cs="仿宋_GB2312"/>
          <w:color w:val="auto"/>
          <w:sz w:val="32"/>
          <w:szCs w:val="32"/>
          <w:highlight w:val="none"/>
          <w:shd w:val="clear" w:color="auto" w:fill="auto"/>
        </w:rPr>
        <w:t>（大写）（￥</w:t>
      </w:r>
      <w:r>
        <w:rPr>
          <w:rFonts w:hint="eastAsia" w:ascii="仿宋_GB2312" w:hAnsi="仿宋_GB2312" w:eastAsia="仿宋_GB2312" w:cs="仿宋_GB2312"/>
          <w:color w:val="auto"/>
          <w:sz w:val="32"/>
          <w:szCs w:val="32"/>
          <w:highlight w:val="none"/>
          <w:u w:val="single"/>
          <w:shd w:val="clear" w:color="auto" w:fill="auto"/>
          <w:lang w:val="en-US" w:eastAsia="zh-CN"/>
        </w:rPr>
        <w:t>1640</w:t>
      </w:r>
      <w:r>
        <w:rPr>
          <w:rFonts w:hint="eastAsia" w:ascii="仿宋_GB2312" w:hAnsi="仿宋_GB2312" w:eastAsia="仿宋_GB2312" w:cs="仿宋_GB2312"/>
          <w:color w:val="auto"/>
          <w:sz w:val="32"/>
          <w:szCs w:val="32"/>
          <w:highlight w:val="none"/>
          <w:u w:val="single"/>
          <w:shd w:val="clear" w:color="auto" w:fill="auto"/>
        </w:rPr>
        <w:t>万元</w:t>
      </w:r>
      <w:r>
        <w:rPr>
          <w:rFonts w:hint="eastAsia" w:ascii="仿宋_GB2312" w:hAnsi="仿宋_GB2312" w:eastAsia="仿宋_GB2312" w:cs="仿宋_GB2312"/>
          <w:color w:val="auto"/>
          <w:sz w:val="32"/>
          <w:szCs w:val="32"/>
          <w:highlight w:val="none"/>
          <w:shd w:val="clear" w:color="auto" w:fill="auto"/>
        </w:rPr>
        <w:t>）,增价幅度为人民币</w:t>
      </w:r>
      <w:r>
        <w:rPr>
          <w:rFonts w:hint="eastAsia" w:ascii="仿宋_GB2312" w:hAnsi="仿宋_GB2312" w:eastAsia="仿宋_GB2312" w:cs="仿宋_GB2312"/>
          <w:color w:val="auto"/>
          <w:sz w:val="32"/>
          <w:szCs w:val="32"/>
          <w:highlight w:val="none"/>
          <w:u w:val="single"/>
          <w:shd w:val="clear" w:color="auto" w:fill="auto"/>
          <w:lang w:val="en-US" w:eastAsia="zh-CN"/>
        </w:rPr>
        <w:t>伍拾</w:t>
      </w:r>
      <w:r>
        <w:rPr>
          <w:rFonts w:hint="eastAsia" w:ascii="仿宋_GB2312" w:hAnsi="仿宋_GB2312" w:eastAsia="仿宋_GB2312" w:cs="仿宋_GB2312"/>
          <w:color w:val="auto"/>
          <w:sz w:val="32"/>
          <w:szCs w:val="32"/>
          <w:highlight w:val="none"/>
          <w:u w:val="single"/>
          <w:shd w:val="clear" w:color="auto" w:fill="auto"/>
        </w:rPr>
        <w:t>万元</w:t>
      </w:r>
      <w:r>
        <w:rPr>
          <w:rFonts w:hint="eastAsia" w:ascii="仿宋_GB2312" w:hAnsi="仿宋_GB2312" w:eastAsia="仿宋_GB2312" w:cs="仿宋_GB2312"/>
          <w:color w:val="auto"/>
          <w:sz w:val="32"/>
          <w:szCs w:val="32"/>
          <w:highlight w:val="none"/>
          <w:shd w:val="clear" w:color="auto" w:fill="auto"/>
        </w:rPr>
        <w:t>（大写）（￥</w:t>
      </w:r>
      <w:r>
        <w:rPr>
          <w:rFonts w:hint="eastAsia" w:ascii="仿宋_GB2312" w:hAnsi="仿宋_GB2312" w:eastAsia="仿宋_GB2312" w:cs="仿宋_GB2312"/>
          <w:color w:val="auto"/>
          <w:sz w:val="32"/>
          <w:szCs w:val="32"/>
          <w:highlight w:val="none"/>
          <w:u w:val="single"/>
          <w:shd w:val="clear" w:color="auto" w:fill="auto"/>
          <w:lang w:val="en-US" w:eastAsia="zh-CN"/>
        </w:rPr>
        <w:t>5</w:t>
      </w:r>
      <w:r>
        <w:rPr>
          <w:rFonts w:hint="eastAsia" w:ascii="仿宋_GB2312" w:hAnsi="仿宋_GB2312" w:eastAsia="仿宋_GB2312" w:cs="仿宋_GB2312"/>
          <w:color w:val="auto"/>
          <w:sz w:val="32"/>
          <w:szCs w:val="32"/>
          <w:highlight w:val="none"/>
          <w:u w:val="single"/>
          <w:shd w:val="clear" w:color="auto" w:fill="auto"/>
        </w:rPr>
        <w:t>0</w:t>
      </w:r>
      <w:r>
        <w:rPr>
          <w:rFonts w:hint="eastAsia" w:ascii="仿宋_GB2312" w:hAnsi="仿宋_GB2312" w:eastAsia="仿宋_GB2312" w:cs="仿宋_GB2312"/>
          <w:color w:val="auto"/>
          <w:sz w:val="32"/>
          <w:szCs w:val="32"/>
          <w:highlight w:val="none"/>
          <w:shd w:val="clear" w:color="auto" w:fill="auto"/>
        </w:rPr>
        <w:t>万元）。</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3" w:name="104"/>
      <w:r>
        <w:rPr>
          <w:rFonts w:hint="eastAsia" w:ascii="仿宋_GB2312" w:hAnsi="仿宋_GB2312" w:eastAsia="仿宋_GB2312" w:cs="仿宋_GB2312"/>
          <w:b/>
          <w:bCs/>
          <w:sz w:val="32"/>
          <w:szCs w:val="32"/>
          <w:highlight w:val="none"/>
          <w:shd w:val="clear" w:color="auto" w:fill="auto"/>
        </w:rPr>
        <w:t>八、</w:t>
      </w:r>
      <w:bookmarkEnd w:id="3"/>
      <w:r>
        <w:rPr>
          <w:rFonts w:hint="eastAsia" w:ascii="仿宋_GB2312" w:hAnsi="仿宋_GB2312" w:eastAsia="仿宋_GB2312" w:cs="仿宋_GB2312"/>
          <w:b/>
          <w:bCs/>
          <w:sz w:val="32"/>
          <w:szCs w:val="32"/>
          <w:highlight w:val="none"/>
          <w:shd w:val="clear" w:color="auto" w:fill="auto"/>
        </w:rPr>
        <w:t>本次网上挂牌出让活动有关时间</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网上挂牌时间为10个工作日，不包括法定节假日。具体如下：</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（一）网上挂牌起始时间：</w:t>
      </w:r>
      <w:r>
        <w:rPr>
          <w:rFonts w:hint="eastAsia" w:ascii="仿宋_GB2312" w:hAnsi="仿宋_GB2312" w:eastAsia="仿宋_GB2312" w:cs="仿宋_GB2312"/>
          <w:sz w:val="32"/>
          <w:szCs w:val="32"/>
          <w:highlight w:val="none"/>
          <w:shd w:val="clear" w:color="auto" w:fill="auto"/>
          <w:lang w:val="en-US" w:eastAsia="zh-CN"/>
        </w:rPr>
        <w:t>2022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8月23</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（二）网上挂牌截止时间：</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9</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6</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10时。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（三）网上挂牌交纳保证金截止时间：</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9</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6</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（四）网上挂牌报价时间：网上挂牌起止时间内。</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九、挂牌文件获取</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申请人可在网上挂牌交易系统浏览或下载本次网上挂牌出让文件，具体包括：</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1、</w:t>
      </w:r>
      <w:r>
        <w:rPr>
          <w:rFonts w:hint="eastAsia" w:ascii="仿宋_GB2312" w:hAnsi="仿宋_GB2312" w:eastAsia="仿宋_GB2312" w:cs="仿宋_GB2312"/>
          <w:sz w:val="32"/>
          <w:szCs w:val="32"/>
          <w:highlight w:val="none"/>
          <w:shd w:val="clear" w:color="auto" w:fill="auto"/>
        </w:rPr>
        <w:t>惠州市国有建设用地使用权网上挂牌出让公告；</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2、惠州市国有建设用地使用权网上挂牌出让须知；</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3、</w:t>
      </w:r>
      <w:r>
        <w:rPr>
          <w:rFonts w:hint="eastAsia" w:ascii="仿宋_GB2312" w:hAnsi="仿宋_GB2312" w:eastAsia="仿宋_GB2312" w:cs="仿宋_GB2312"/>
          <w:sz w:val="32"/>
          <w:szCs w:val="32"/>
          <w:highlight w:val="none"/>
          <w:shd w:val="clear" w:color="auto" w:fill="auto"/>
        </w:rPr>
        <w:t>挂牌出让地块现状图；</w:t>
      </w:r>
    </w:p>
    <w:p>
      <w:pPr>
        <w:shd w:val="clear"/>
        <w:tabs>
          <w:tab w:val="left" w:pos="3388"/>
        </w:tabs>
        <w:spacing w:line="560" w:lineRule="exact"/>
        <w:ind w:firstLine="640"/>
        <w:jc w:val="left"/>
        <w:rPr>
          <w:rFonts w:hint="default" w:eastAsia="仿宋_GB231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4、红线图；</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5、</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val="en-US" w:eastAsia="zh-CN"/>
        </w:rPr>
        <w:t>建设用地规划设计条件</w:t>
      </w:r>
      <w:r>
        <w:rPr>
          <w:rFonts w:hint="eastAsia" w:ascii="仿宋_GB2312" w:hAnsi="宋体" w:eastAsia="仿宋_GB2312" w:cs="宋体"/>
          <w:color w:val="auto"/>
          <w:kern w:val="0"/>
          <w:sz w:val="32"/>
          <w:szCs w:val="32"/>
        </w:rPr>
        <w:t>》（</w:t>
      </w:r>
      <w:r>
        <w:rPr>
          <w:rFonts w:hint="eastAsia" w:ascii="仿宋_GB2312" w:hAnsi="仿宋_GB2312" w:eastAsia="仿宋_GB2312" w:cs="仿宋_GB2312"/>
          <w:sz w:val="32"/>
          <w:szCs w:val="32"/>
        </w:rPr>
        <w:t>PB202</w:t>
      </w:r>
      <w:r>
        <w:rPr>
          <w:rFonts w:hint="default"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lang w:val="en-US" w:eastAsia="zh-CN"/>
        </w:rPr>
        <w:t>24</w:t>
      </w:r>
      <w:r>
        <w:rPr>
          <w:rFonts w:hint="eastAsia" w:ascii="仿宋_GB2312" w:hAnsi="宋体" w:eastAsia="仿宋_GB2312" w:cs="宋体"/>
          <w:color w:val="auto"/>
          <w:kern w:val="0"/>
          <w:sz w:val="32"/>
          <w:szCs w:val="32"/>
          <w:lang w:val="en-US" w:eastAsia="zh-CN"/>
        </w:rPr>
        <w:t>号</w:t>
      </w:r>
      <w:r>
        <w:rPr>
          <w:rFonts w:hint="eastAsia" w:ascii="仿宋_GB2312" w:hAnsi="宋体" w:eastAsia="仿宋_GB2312" w:cs="宋体"/>
          <w:color w:val="auto"/>
          <w:kern w:val="0"/>
          <w:sz w:val="32"/>
          <w:szCs w:val="32"/>
        </w:rPr>
        <w:t>）</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6、</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惠州市</w:t>
      </w:r>
      <w:r>
        <w:rPr>
          <w:rFonts w:hint="eastAsia" w:ascii="仿宋_GB2312" w:hAnsi="仿宋_GB2312" w:eastAsia="仿宋_GB2312" w:cs="仿宋_GB2312"/>
          <w:sz w:val="32"/>
          <w:szCs w:val="32"/>
          <w:highlight w:val="none"/>
          <w:shd w:val="clear" w:color="auto" w:fill="auto"/>
          <w:lang w:val="en-US" w:eastAsia="zh-CN"/>
        </w:rPr>
        <w:t>国有建设用地使用权电子挂牌</w:t>
      </w:r>
      <w:r>
        <w:rPr>
          <w:rFonts w:hint="eastAsia" w:ascii="仿宋_GB2312" w:hAnsi="仿宋_GB2312" w:eastAsia="仿宋_GB2312" w:cs="仿宋_GB2312"/>
          <w:sz w:val="32"/>
          <w:szCs w:val="32"/>
          <w:highlight w:val="none"/>
          <w:shd w:val="clear" w:color="auto" w:fill="auto"/>
        </w:rPr>
        <w:t>交易成交</w:t>
      </w:r>
      <w:r>
        <w:rPr>
          <w:rFonts w:hint="eastAsia" w:ascii="仿宋_GB2312" w:hAnsi="仿宋_GB2312" w:eastAsia="仿宋_GB2312" w:cs="仿宋_GB2312"/>
          <w:sz w:val="32"/>
          <w:szCs w:val="32"/>
          <w:highlight w:val="none"/>
          <w:shd w:val="clear" w:color="auto" w:fill="auto"/>
          <w:lang w:val="en-US" w:eastAsia="zh-CN"/>
        </w:rPr>
        <w:t>确认</w:t>
      </w:r>
      <w:r>
        <w:rPr>
          <w:rFonts w:hint="eastAsia" w:ascii="仿宋_GB2312" w:hAnsi="仿宋_GB2312" w:eastAsia="仿宋_GB2312" w:cs="仿宋_GB2312"/>
          <w:sz w:val="32"/>
          <w:szCs w:val="32"/>
          <w:highlight w:val="none"/>
          <w:shd w:val="clear" w:color="auto" w:fill="auto"/>
        </w:rPr>
        <w:t>书</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（以下简称“成交</w:t>
      </w:r>
      <w:r>
        <w:rPr>
          <w:rFonts w:hint="eastAsia" w:ascii="仿宋_GB2312" w:hAnsi="仿宋_GB2312" w:eastAsia="仿宋_GB2312" w:cs="仿宋_GB2312"/>
          <w:sz w:val="32"/>
          <w:szCs w:val="32"/>
          <w:highlight w:val="none"/>
          <w:shd w:val="clear" w:color="auto" w:fill="auto"/>
          <w:lang w:val="en-US" w:eastAsia="zh-CN"/>
        </w:rPr>
        <w:t>确认</w:t>
      </w:r>
      <w:r>
        <w:rPr>
          <w:rFonts w:hint="eastAsia" w:ascii="仿宋_GB2312" w:hAnsi="仿宋_GB2312" w:eastAsia="仿宋_GB2312" w:cs="仿宋_GB2312"/>
          <w:sz w:val="32"/>
          <w:szCs w:val="32"/>
          <w:highlight w:val="none"/>
          <w:shd w:val="clear" w:color="auto" w:fill="auto"/>
        </w:rPr>
        <w:t>书”）样本；</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《国有建设用地使用权出让合同》（以下简称“出让合同”）样本；</w:t>
      </w:r>
    </w:p>
    <w:p>
      <w:pPr>
        <w:pStyle w:val="2"/>
        <w:shd w:val="clear"/>
        <w:rPr>
          <w:rFonts w:hint="default"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sz w:val="32"/>
          <w:szCs w:val="32"/>
          <w:highlight w:val="none"/>
          <w:shd w:val="clear" w:color="auto" w:fill="auto"/>
          <w:lang w:val="en-US" w:eastAsia="zh-CN"/>
        </w:rPr>
        <w:t xml:space="preserve"> 8、</w:t>
      </w:r>
      <w:r>
        <w:rPr>
          <w:rFonts w:hint="eastAsia" w:ascii="仿宋_GB2312" w:hAnsi="仿宋_GB2312" w:eastAsia="仿宋_GB2312" w:cs="仿宋_GB2312"/>
          <w:kern w:val="2"/>
          <w:sz w:val="32"/>
          <w:szCs w:val="32"/>
          <w:highlight w:val="none"/>
          <w:shd w:val="clear" w:color="auto" w:fill="auto"/>
          <w:lang w:val="en-US" w:eastAsia="zh-CN" w:bidi="ar-SA"/>
        </w:rPr>
        <w:t>《项目实施监管协议书》</w:t>
      </w:r>
    </w:p>
    <w:p>
      <w:pPr>
        <w:shd w:val="clear"/>
        <w:tabs>
          <w:tab w:val="left" w:pos="3388"/>
        </w:tabs>
        <w:spacing w:line="560" w:lineRule="exact"/>
        <w:ind w:left="0" w:leftChars="0" w:firstLine="640" w:firstLineChars="200"/>
        <w:jc w:val="left"/>
        <w:rPr>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9、其他相关文件</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十、办理数字证书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办理数字证书是参加本宗地网上挂牌出让活动的必经程序，申请人应当携带相关有效证件到广东省数字证书认证中心惠州办理点（地址：广东省惠州市</w:t>
      </w:r>
      <w:r>
        <w:rPr>
          <w:rFonts w:hint="eastAsia" w:ascii="仿宋_GB2312" w:hAnsi="仿宋_GB2312" w:eastAsia="仿宋_GB2312" w:cs="仿宋_GB2312"/>
          <w:sz w:val="32"/>
          <w:szCs w:val="32"/>
          <w:highlight w:val="none"/>
          <w:shd w:val="clear" w:color="auto" w:fill="auto"/>
          <w:lang w:val="en-US" w:eastAsia="zh-CN"/>
        </w:rPr>
        <w:t>惠城区三新北路31号市民服务中心3号楼惠州市公共资源交易中心一楼大厅1号土地与矿业交易窗口</w:t>
      </w:r>
      <w:r>
        <w:rPr>
          <w:rFonts w:hint="eastAsia" w:ascii="仿宋_GB2312" w:hAnsi="仿宋_GB2312" w:eastAsia="仿宋_GB2312" w:cs="仿宋_GB2312"/>
          <w:sz w:val="32"/>
          <w:szCs w:val="32"/>
          <w:highlight w:val="none"/>
          <w:shd w:val="clear" w:color="auto" w:fill="auto"/>
        </w:rPr>
        <w:t>，电话：0752-</w:t>
      </w:r>
      <w:r>
        <w:rPr>
          <w:rFonts w:hint="eastAsia" w:ascii="仿宋_GB2312" w:hAnsi="仿宋_GB2312" w:eastAsia="仿宋_GB2312" w:cs="仿宋_GB2312"/>
          <w:sz w:val="32"/>
          <w:szCs w:val="32"/>
          <w:highlight w:val="none"/>
          <w:shd w:val="clear" w:color="auto" w:fill="auto"/>
          <w:lang w:val="en-US" w:eastAsia="zh-CN"/>
        </w:rPr>
        <w:t>7121029</w:t>
      </w:r>
      <w:r>
        <w:rPr>
          <w:rFonts w:hint="eastAsia" w:ascii="仿宋_GB2312" w:hAnsi="仿宋_GB2312" w:eastAsia="仿宋_GB2312" w:cs="仿宋_GB2312"/>
          <w:sz w:val="32"/>
          <w:szCs w:val="32"/>
          <w:highlight w:val="none"/>
          <w:shd w:val="clear" w:color="auto" w:fill="auto"/>
        </w:rPr>
        <w:t>）申请办理。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数字证书的办理流程详见网上挂牌交易系统上的《数字证书办理指南》。</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十一、答疑及现场踏勘</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申请人对网上挂牌出让文件有疑问的，可在网上挂牌活动开始前以书面或者口头方式向本中心咨询。有意竞买者可自行踏勘现场。（可在网上查阅位置图和现状图）。</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4" w:name="103"/>
      <w:bookmarkEnd w:id="4"/>
      <w:r>
        <w:rPr>
          <w:rFonts w:hint="eastAsia" w:ascii="仿宋_GB2312" w:hAnsi="仿宋_GB2312" w:eastAsia="仿宋_GB2312" w:cs="仿宋_GB2312"/>
          <w:b/>
          <w:bCs/>
          <w:sz w:val="32"/>
          <w:szCs w:val="32"/>
          <w:highlight w:val="none"/>
          <w:shd w:val="clear" w:color="auto" w:fill="auto"/>
        </w:rPr>
        <w:t xml:space="preserve"> 十二、竞买保证金</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（一）竞买保证金是申请人参加网上挂牌交易活动的资格条件。按规定将竞买保证金汇入指定账户，是参加网上挂牌交易活动的必经程序。</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（二）本宗地竞买保证金到账截止时间为</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9</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6</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9时整，竞买保证金为人民币</w:t>
      </w:r>
      <w:r>
        <w:rPr>
          <w:rFonts w:hint="eastAsia" w:ascii="仿宋_GB2312" w:hAnsi="仿宋_GB2312" w:eastAsia="仿宋_GB2312" w:cs="仿宋_GB2312"/>
          <w:sz w:val="32"/>
          <w:szCs w:val="32"/>
          <w:highlight w:val="none"/>
          <w:u w:val="single"/>
          <w:shd w:val="clear" w:color="auto" w:fill="auto"/>
          <w:lang w:val="en-US" w:eastAsia="zh-CN"/>
        </w:rPr>
        <w:t>肆佰玖拾贰万元整</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u w:val="single"/>
          <w:shd w:val="clear" w:color="auto" w:fill="auto"/>
          <w:lang w:val="en-US" w:eastAsia="zh-CN"/>
        </w:rPr>
        <w:t>492</w:t>
      </w:r>
      <w:r>
        <w:rPr>
          <w:rFonts w:hint="eastAsia" w:ascii="仿宋_GB2312" w:hAnsi="仿宋_GB2312" w:eastAsia="仿宋_GB2312" w:cs="仿宋_GB2312"/>
          <w:color w:val="auto"/>
          <w:sz w:val="32"/>
          <w:szCs w:val="32"/>
          <w:highlight w:val="none"/>
          <w:shd w:val="clear" w:color="auto" w:fill="auto"/>
        </w:rPr>
        <w:t>万元）</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（三）竞买人应当提前交纳竞买保证金以确保在到账截止时间前到账，超过到账截止时间的保证金，网上挂牌交易系统将不予受理，造成的损失由竞买人自行承担。</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（四）跨地区或跨行转账的竞买人，需预足资金的在途时间，以免影响竞买人及时取得竞买资格。</w:t>
      </w:r>
    </w:p>
    <w:p>
      <w:pPr>
        <w:shd w:val="clear"/>
        <w:tabs>
          <w:tab w:val="left" w:pos="3388"/>
        </w:tabs>
        <w:spacing w:line="560" w:lineRule="exact"/>
        <w:ind w:firstLine="64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（五）竞买保证金到账时间以网上挂牌交易系统颁发《保证金到账通知书》为准。</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（六）竞买保证金开户单位：惠州市公共资源交易中心</w:t>
      </w:r>
    </w:p>
    <w:p>
      <w:pPr>
        <w:shd w:val="clear"/>
        <w:tabs>
          <w:tab w:val="left" w:pos="3388"/>
        </w:tabs>
        <w:spacing w:line="560" w:lineRule="exact"/>
        <w:ind w:firstLine="640" w:firstLineChars="200"/>
        <w:jc w:val="left"/>
        <w:rPr>
          <w:highlight w:val="none"/>
          <w:shd w:val="clear" w:color="auto" w:fill="auto"/>
        </w:rPr>
      </w:pPr>
      <w:r>
        <w:rPr>
          <w:rFonts w:hint="eastAsia" w:ascii="仿宋_GB2312" w:hAnsi="仿宋_GB2312" w:eastAsia="仿宋_GB2312" w:cs="仿宋_GB2312"/>
          <w:sz w:val="32"/>
          <w:szCs w:val="32"/>
          <w:highlight w:val="none"/>
          <w:shd w:val="clear" w:color="auto" w:fill="auto"/>
        </w:rPr>
        <w:t>竞买保证金账号：网上挂牌交易系统随机产生子账号。</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开户银行：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1、</w:t>
      </w:r>
      <w:r>
        <w:rPr>
          <w:rFonts w:hint="eastAsia" w:ascii="仿宋_GB2312" w:hAnsi="仿宋_GB2312" w:eastAsia="仿宋_GB2312" w:cs="仿宋_GB2312"/>
          <w:sz w:val="32"/>
          <w:szCs w:val="32"/>
          <w:highlight w:val="none"/>
          <w:shd w:val="clear" w:color="auto" w:fill="auto"/>
        </w:rPr>
        <w:t>中国建设银行惠州广场支行。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2、</w:t>
      </w:r>
      <w:r>
        <w:rPr>
          <w:rFonts w:hint="eastAsia" w:ascii="仿宋_GB2312" w:hAnsi="仿宋_GB2312" w:eastAsia="仿宋_GB2312" w:cs="仿宋_GB2312"/>
          <w:sz w:val="32"/>
          <w:szCs w:val="32"/>
          <w:highlight w:val="none"/>
          <w:shd w:val="clear" w:color="auto" w:fill="auto"/>
        </w:rPr>
        <w:t>中国银行惠州分行。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3、</w:t>
      </w:r>
      <w:r>
        <w:rPr>
          <w:rFonts w:hint="eastAsia" w:ascii="仿宋_GB2312" w:hAnsi="仿宋_GB2312" w:eastAsia="仿宋_GB2312" w:cs="仿宋_GB2312"/>
          <w:sz w:val="32"/>
          <w:szCs w:val="32"/>
          <w:highlight w:val="none"/>
          <w:shd w:val="clear" w:color="auto" w:fill="auto"/>
        </w:rPr>
        <w:t>中国工商银行股份有限公司惠州富力国际中心支行 。</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4、</w:t>
      </w:r>
      <w:r>
        <w:rPr>
          <w:rFonts w:hint="eastAsia" w:ascii="仿宋_GB2312" w:hAnsi="仿宋_GB2312" w:eastAsia="仿宋_GB2312" w:cs="仿宋_GB2312"/>
          <w:sz w:val="32"/>
          <w:szCs w:val="32"/>
          <w:highlight w:val="none"/>
          <w:shd w:val="clear" w:color="auto" w:fill="auto"/>
        </w:rPr>
        <w:t>中国农业银行惠州分行。</w:t>
      </w:r>
    </w:p>
    <w:p>
      <w:pPr>
        <w:shd w:val="clear"/>
        <w:tabs>
          <w:tab w:val="left" w:pos="3388"/>
        </w:tabs>
        <w:spacing w:line="560" w:lineRule="exact"/>
        <w:ind w:firstLine="640" w:firstLineChars="200"/>
        <w:jc w:val="left"/>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5、</w:t>
      </w:r>
      <w:r>
        <w:rPr>
          <w:rFonts w:hint="eastAsia" w:ascii="仿宋_GB2312" w:hAnsi="仿宋_GB2312" w:eastAsia="仿宋_GB2312" w:cs="仿宋_GB2312"/>
          <w:sz w:val="32"/>
          <w:szCs w:val="32"/>
          <w:highlight w:val="none"/>
          <w:shd w:val="clear" w:color="auto" w:fill="auto"/>
        </w:rPr>
        <w:t>广发银行惠州江北支行。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6、</w:t>
      </w:r>
      <w:r>
        <w:rPr>
          <w:rFonts w:hint="eastAsia" w:ascii="仿宋_GB2312" w:hAnsi="仿宋_GB2312" w:eastAsia="仿宋_GB2312" w:cs="仿宋_GB2312"/>
          <w:sz w:val="32"/>
          <w:szCs w:val="32"/>
          <w:highlight w:val="none"/>
          <w:shd w:val="clear" w:color="auto" w:fill="auto"/>
        </w:rPr>
        <w:t>交通银行惠州分行。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惠州市农村商业银行股份有限公司惠城支行。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8、</w:t>
      </w:r>
      <w:r>
        <w:rPr>
          <w:rFonts w:hint="eastAsia" w:ascii="仿宋_GB2312" w:hAnsi="仿宋_GB2312" w:eastAsia="仿宋_GB2312" w:cs="仿宋_GB2312"/>
          <w:sz w:val="32"/>
          <w:szCs w:val="32"/>
          <w:highlight w:val="none"/>
          <w:shd w:val="clear" w:color="auto" w:fill="auto"/>
        </w:rPr>
        <w:t>上海浦东发展银行股份有限公司惠州分行 。</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9、</w:t>
      </w:r>
      <w:r>
        <w:rPr>
          <w:rFonts w:hint="eastAsia" w:ascii="仿宋_GB2312" w:hAnsi="仿宋_GB2312" w:eastAsia="仿宋_GB2312" w:cs="仿宋_GB2312"/>
          <w:sz w:val="32"/>
          <w:szCs w:val="32"/>
          <w:highlight w:val="none"/>
          <w:shd w:val="clear" w:color="auto" w:fill="auto"/>
        </w:rPr>
        <w:t>中国民生银行股份有限公司惠州分行。</w:t>
      </w:r>
    </w:p>
    <w:p>
      <w:pPr>
        <w:shd w:val="clear"/>
        <w:tabs>
          <w:tab w:val="left" w:pos="3388"/>
        </w:tabs>
        <w:spacing w:line="560" w:lineRule="exact"/>
        <w:ind w:firstLine="640" w:firstLineChars="200"/>
        <w:jc w:val="left"/>
        <w:rPr>
          <w:rFonts w:hint="eastAsia"/>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10、</w:t>
      </w:r>
      <w:r>
        <w:rPr>
          <w:rFonts w:hint="eastAsia" w:ascii="仿宋_GB2312" w:hAnsi="仿宋_GB2312" w:eastAsia="仿宋_GB2312" w:cs="仿宋_GB2312"/>
          <w:sz w:val="32"/>
          <w:szCs w:val="32"/>
          <w:highlight w:val="none"/>
          <w:shd w:val="clear" w:color="auto" w:fill="auto"/>
        </w:rPr>
        <w:t>中信银行股份有限公司惠州分行。</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5" w:name="107"/>
      <w:r>
        <w:rPr>
          <w:rFonts w:hint="eastAsia" w:ascii="仿宋_GB2312" w:hAnsi="仿宋_GB2312" w:eastAsia="仿宋_GB2312" w:cs="仿宋_GB2312"/>
          <w:b/>
          <w:bCs/>
          <w:sz w:val="32"/>
          <w:szCs w:val="32"/>
          <w:highlight w:val="none"/>
          <w:shd w:val="clear" w:color="auto" w:fill="auto"/>
        </w:rPr>
        <w:t>十三、</w:t>
      </w:r>
      <w:bookmarkEnd w:id="5"/>
      <w:r>
        <w:rPr>
          <w:rFonts w:hint="eastAsia" w:ascii="仿宋_GB2312" w:hAnsi="仿宋_GB2312" w:eastAsia="仿宋_GB2312" w:cs="仿宋_GB2312"/>
          <w:b/>
          <w:bCs/>
          <w:sz w:val="32"/>
          <w:szCs w:val="32"/>
          <w:highlight w:val="none"/>
          <w:shd w:val="clear" w:color="auto" w:fill="auto"/>
        </w:rPr>
        <w:t>网上报价规则</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（一）本次网上挂牌以增价方式进行报价，每次加价幅度为本须知规定增价幅度的整数倍。</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（二）竞买人的首次报价不低于起始价，此后的竞买人报价须高于报价当时的最新网上挂牌价格，并以增价幅度的整数倍加价。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（三）竞买人通过网上挂牌交易提交的报价一经报出，不得撤回。</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（四）在报价期间，竞买人可多次报价。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（五）在报价期内，竞买人必须进行一次有效报价，才能参加网上限时竞价。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（六）竞买人报价有下列情形之一的，为无效报价：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1、报价未在网上挂牌期限内收到的。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2、报价因竞买人网络故障未在网上挂牌报价期限内收到的。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3、报价不符合报价规则的。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4、报价低于网上挂牌起始价的。</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5、报价不符合网上挂牌公告、须知及相关交易文件规定的其他情形。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十四、系统操作</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土地与矿业交易系统竞买人操作视频</w:t>
      </w:r>
      <w:r>
        <w:rPr>
          <w:rFonts w:hint="eastAsia" w:ascii="仿宋_GB2312" w:hAnsi="仿宋_GB2312" w:eastAsia="仿宋_GB2312" w:cs="仿宋_GB2312"/>
          <w:sz w:val="32"/>
          <w:szCs w:val="32"/>
          <w:highlight w:val="none"/>
          <w:shd w:val="clear" w:color="auto" w:fill="auto"/>
          <w:lang w:val="en-US" w:eastAsia="zh-CN"/>
        </w:rPr>
        <w:t>可在</w:t>
      </w:r>
      <w:r>
        <w:rPr>
          <w:rFonts w:hint="eastAsia" w:ascii="仿宋_GB2312" w:hAnsi="仿宋_GB2312" w:eastAsia="仿宋_GB2312" w:cs="仿宋_GB2312"/>
          <w:sz w:val="32"/>
          <w:szCs w:val="32"/>
          <w:highlight w:val="none"/>
          <w:shd w:val="clear" w:color="auto" w:fill="auto"/>
        </w:rPr>
        <w:t>本中心网上挂牌交易系</w:t>
      </w:r>
      <w:r>
        <w:rPr>
          <w:rFonts w:hint="eastAsia" w:ascii="仿宋_GB2312" w:hAnsi="仿宋_GB2312" w:eastAsia="仿宋_GB2312" w:cs="仿宋_GB2312"/>
          <w:sz w:val="32"/>
          <w:szCs w:val="32"/>
          <w:highlight w:val="none"/>
          <w:shd w:val="clear" w:color="auto" w:fill="auto"/>
          <w:lang w:val="en-US" w:eastAsia="zh-CN"/>
        </w:rPr>
        <w:t>统</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下载。</w:t>
      </w:r>
      <w:bookmarkStart w:id="6" w:name="106"/>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十五、</w:t>
      </w:r>
      <w:bookmarkEnd w:id="6"/>
      <w:r>
        <w:rPr>
          <w:rFonts w:hint="eastAsia" w:ascii="仿宋_GB2312" w:hAnsi="仿宋_GB2312" w:eastAsia="仿宋_GB2312" w:cs="仿宋_GB2312"/>
          <w:b/>
          <w:bCs/>
          <w:sz w:val="32"/>
          <w:szCs w:val="32"/>
          <w:highlight w:val="none"/>
          <w:shd w:val="clear" w:color="auto" w:fill="auto"/>
        </w:rPr>
        <w:t>网上挂牌程序</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（一）公布网上挂牌信息</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我中心将有关宗地的位置、面积、用途、使用年期、规划要求、起始价、增价规则及增价幅度等予以公布。有意竞买者可登</w:t>
      </w:r>
      <w:r>
        <w:rPr>
          <w:rFonts w:hint="eastAsia" w:ascii="仿宋_GB2312" w:hAnsi="仿宋_GB2312" w:eastAsia="仿宋_GB2312" w:cs="仿宋_GB2312"/>
          <w:sz w:val="32"/>
          <w:szCs w:val="32"/>
          <w:highlight w:val="none"/>
          <w:shd w:val="clear" w:color="auto" w:fill="auto"/>
          <w:lang w:val="en-US" w:eastAsia="zh-CN"/>
        </w:rPr>
        <w:t>录</w:t>
      </w:r>
      <w:r>
        <w:rPr>
          <w:rFonts w:hint="eastAsia" w:ascii="仿宋_GB2312" w:hAnsi="仿宋_GB2312" w:eastAsia="仿宋_GB2312" w:cs="仿宋_GB2312"/>
          <w:sz w:val="32"/>
          <w:szCs w:val="32"/>
          <w:highlight w:val="none"/>
          <w:shd w:val="clear" w:color="auto" w:fill="auto"/>
        </w:rPr>
        <w:t>惠州市公共资源交易中心土地与矿业网上挂牌交易系统网站(</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)查询。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（二）申请竞买</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shd w:val="clear"/>
        <w:tabs>
          <w:tab w:val="left" w:pos="3388"/>
        </w:tabs>
        <w:spacing w:line="560" w:lineRule="exact"/>
        <w:ind w:firstLine="480" w:firstLineChars="15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（三）交纳保证金</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（四）网上挂牌报价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1、网上挂牌交易从网上挂牌起始时间起开始接受报价。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2、办理好数字证书、按时足额交付竞买保证金并经网上挂牌交易系统确认的竞买人通过网上挂牌交易系统进行报价。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3、网上挂牌交易系统对符合规定的报价予以确认，并更新显示当前报价。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4、网上挂牌交易系统继续接受新的报价。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5、网上挂牌报价规则见《须知》第十三条。</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（五）网上挂牌截止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1、网上挂牌交易系统将在网上挂牌截止时间自动确定网上挂牌截止。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2、网上挂牌交易</w:t>
      </w:r>
      <w:r>
        <w:rPr>
          <w:rFonts w:hint="eastAsia" w:ascii="仿宋_GB2312" w:hAnsi="仿宋_GB2312" w:eastAsia="仿宋_GB2312" w:cs="仿宋_GB2312"/>
          <w:sz w:val="32"/>
          <w:szCs w:val="32"/>
          <w:highlight w:val="none"/>
          <w:shd w:val="clear" w:color="auto" w:fill="auto"/>
          <w:lang w:val="en-US" w:eastAsia="zh-CN"/>
        </w:rPr>
        <w:t>期限截止时，无人报价的，挂牌不成交</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default" w:ascii="仿宋_GB2312" w:hAnsi="仿宋_GB2312" w:eastAsia="仿宋_GB2312" w:cs="仿宋_GB2312"/>
          <w:sz w:val="32"/>
          <w:szCs w:val="32"/>
          <w:highlight w:val="none"/>
          <w:shd w:val="clear" w:color="auto" w:fill="auto"/>
          <w:lang w:val="en-US"/>
        </w:rPr>
      </w:pPr>
      <w:r>
        <w:rPr>
          <w:rFonts w:hint="eastAsia" w:ascii="仿宋_GB2312" w:hAnsi="仿宋_GB2312" w:eastAsia="仿宋_GB2312" w:cs="仿宋_GB2312"/>
          <w:sz w:val="32"/>
          <w:szCs w:val="32"/>
          <w:highlight w:val="none"/>
          <w:shd w:val="clear" w:color="auto" w:fill="auto"/>
        </w:rPr>
        <w:t>3、网上挂牌交易</w:t>
      </w:r>
      <w:r>
        <w:rPr>
          <w:rFonts w:hint="eastAsia" w:ascii="仿宋_GB2312" w:hAnsi="仿宋_GB2312" w:eastAsia="仿宋_GB2312" w:cs="仿宋_GB2312"/>
          <w:sz w:val="32"/>
          <w:szCs w:val="32"/>
          <w:highlight w:val="none"/>
          <w:shd w:val="clear" w:color="auto" w:fill="auto"/>
          <w:lang w:val="en-US" w:eastAsia="zh-CN"/>
        </w:rPr>
        <w:t>期限截止时，只有1个竞买人报价，且报价不低于起始价的，挂牌成交，该报价者为竞得人。</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4、</w:t>
      </w:r>
      <w:r>
        <w:rPr>
          <w:rFonts w:hint="eastAsia" w:ascii="仿宋_GB2312" w:hAnsi="仿宋_GB2312" w:eastAsia="仿宋_GB2312" w:cs="仿宋_GB2312"/>
          <w:sz w:val="32"/>
          <w:szCs w:val="32"/>
          <w:highlight w:val="none"/>
          <w:shd w:val="clear" w:color="auto" w:fill="auto"/>
        </w:rPr>
        <w:t>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5分钟限时竞价内没有新的报价，网上挂牌交易系统将自动关闭报价通道，当前最高报价为最终报价，网上挂牌交易系统确认最高报价者为竞得人。</w:t>
      </w:r>
    </w:p>
    <w:p>
      <w:pPr>
        <w:shd w:val="clear"/>
        <w:tabs>
          <w:tab w:val="left" w:pos="3388"/>
        </w:tabs>
        <w:spacing w:line="560" w:lineRule="exact"/>
        <w:jc w:val="left"/>
        <w:rPr>
          <w:rFonts w:hint="eastAsia" w:eastAsia="仿宋_GB231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 xml:space="preserve">     网上限时竞价中无人报价的，以网上挂牌截止时出价最高</w:t>
      </w:r>
      <w:r>
        <w:rPr>
          <w:rFonts w:hint="eastAsia" w:ascii="仿宋_GB2312" w:hAnsi="仿宋_GB2312" w:eastAsia="仿宋_GB2312" w:cs="仿宋_GB2312"/>
          <w:sz w:val="32"/>
          <w:szCs w:val="32"/>
          <w:highlight w:val="none"/>
          <w:shd w:val="clear" w:color="auto" w:fill="auto"/>
          <w:lang w:val="en-US" w:eastAsia="zh-CN"/>
        </w:rPr>
        <w:t>且报价不低于起始价者</w:t>
      </w:r>
      <w:r>
        <w:rPr>
          <w:rFonts w:hint="eastAsia" w:ascii="仿宋_GB2312" w:hAnsi="仿宋_GB2312" w:eastAsia="仿宋_GB2312" w:cs="仿宋_GB2312"/>
          <w:sz w:val="32"/>
          <w:szCs w:val="32"/>
          <w:highlight w:val="none"/>
          <w:shd w:val="clear" w:color="auto" w:fill="auto"/>
        </w:rPr>
        <w:t>为竞得人。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经网上挂牌交易系统询问完毕后，没有竞买人表示愿意继续竞价的，</w:t>
      </w:r>
      <w:r>
        <w:rPr>
          <w:rFonts w:hint="eastAsia" w:ascii="仿宋_GB2312" w:hAnsi="仿宋_GB2312" w:eastAsia="仿宋_GB2312" w:cs="仿宋_GB2312"/>
          <w:sz w:val="32"/>
          <w:szCs w:val="32"/>
          <w:highlight w:val="none"/>
          <w:shd w:val="clear" w:color="auto" w:fill="auto"/>
          <w:lang w:val="en-US" w:eastAsia="zh-CN"/>
        </w:rPr>
        <w:t>以</w:t>
      </w:r>
      <w:r>
        <w:rPr>
          <w:rFonts w:hint="eastAsia" w:ascii="仿宋_GB2312" w:hAnsi="仿宋_GB2312" w:eastAsia="仿宋_GB2312" w:cs="仿宋_GB2312"/>
          <w:sz w:val="32"/>
          <w:szCs w:val="32"/>
          <w:highlight w:val="none"/>
          <w:shd w:val="clear" w:color="auto" w:fill="auto"/>
        </w:rPr>
        <w:t>网上挂牌交易</w:t>
      </w:r>
      <w:r>
        <w:rPr>
          <w:rFonts w:hint="eastAsia" w:ascii="仿宋_GB2312" w:hAnsi="仿宋_GB2312" w:eastAsia="仿宋_GB2312" w:cs="仿宋_GB2312"/>
          <w:sz w:val="32"/>
          <w:szCs w:val="32"/>
          <w:highlight w:val="none"/>
          <w:shd w:val="clear" w:color="auto" w:fill="auto"/>
          <w:lang w:val="en-US" w:eastAsia="zh-CN"/>
        </w:rPr>
        <w:t>截止时报价最高且报价不低于起始价者为竞得人。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六</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竞买</w:t>
      </w:r>
      <w:r>
        <w:rPr>
          <w:rFonts w:hint="eastAsia" w:ascii="仿宋_GB2312" w:hAnsi="仿宋_GB2312" w:eastAsia="仿宋_GB2312" w:cs="仿宋_GB2312"/>
          <w:sz w:val="32"/>
          <w:szCs w:val="32"/>
          <w:highlight w:val="none"/>
          <w:shd w:val="clear" w:color="auto" w:fill="auto"/>
        </w:rPr>
        <w:t>资格审查和签订《成交确认书》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1、网上挂牌交易结束后，竞得人应当自行下载打印《竞买申请书》、《竞价结果通知书》</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《竞买保证金到账通知书》并盖章。</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w:t>
      </w:r>
      <w:r>
        <w:rPr>
          <w:rFonts w:hint="eastAsia" w:ascii="仿宋_GB2312" w:hAnsi="仿宋_GB2312" w:eastAsia="仿宋_GB2312" w:cs="仿宋_GB2312"/>
          <w:sz w:val="32"/>
          <w:szCs w:val="32"/>
        </w:rPr>
        <w:t>竞得人应当在网上挂牌交易结果公布之日起5个工作日内持公司公章及下列有关纸质材料到本中心，由委托方进行资格审查，符合竞买资格的，竞得人应当在网上挂牌交易结果公布之日起5个工作日内签订《成交确认书》</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（1）《竞买申请书》（加盖公章）。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（2）《竞价结果通知书》（加盖公章）。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（3）《竞买保证金到账通知书》（加盖公章）。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（4）</w:t>
      </w:r>
      <w:r>
        <w:rPr>
          <w:rFonts w:hint="eastAsia" w:ascii="仿宋_GB2312" w:hAnsi="仿宋_GB2312" w:eastAsia="仿宋_GB2312" w:cs="仿宋_GB2312"/>
          <w:sz w:val="32"/>
          <w:szCs w:val="32"/>
          <w:highlight w:val="none"/>
          <w:shd w:val="clear" w:color="auto" w:fill="auto"/>
          <w:lang w:val="en-US" w:eastAsia="zh-CN"/>
        </w:rPr>
        <w:t>转账</w:t>
      </w:r>
      <w:r>
        <w:rPr>
          <w:rFonts w:hint="eastAsia" w:ascii="仿宋_GB2312" w:hAnsi="仿宋_GB2312" w:eastAsia="仿宋_GB2312" w:cs="仿宋_GB2312"/>
          <w:sz w:val="32"/>
          <w:szCs w:val="32"/>
          <w:highlight w:val="none"/>
          <w:shd w:val="clear" w:color="auto" w:fill="auto"/>
        </w:rPr>
        <w:t>凭证复印件（加盖公章）</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（5）申请竞买人有效的《营业执照》复印件（加盖公章）（二份）。</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（6）法定代表人身份证复印件（加盖公章）（二份</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）授权他人代理的授权委托书及代理人身份证复印件（核对原件）。</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8</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b w:val="0"/>
          <w:bCs w:val="0"/>
          <w:color w:val="000000"/>
          <w:kern w:val="0"/>
          <w:sz w:val="32"/>
          <w:szCs w:val="32"/>
          <w:lang w:val="en-US" w:eastAsia="zh-CN"/>
        </w:rPr>
        <w:t>竞得人</w:t>
      </w:r>
      <w:r>
        <w:rPr>
          <w:rFonts w:hint="eastAsia" w:ascii="仿宋_GB2312" w:hAnsi="仿宋_GB2312" w:eastAsia="仿宋_GB2312" w:cs="仿宋_GB2312"/>
          <w:color w:val="auto"/>
          <w:sz w:val="32"/>
          <w:szCs w:val="32"/>
        </w:rPr>
        <w:t>与</w:t>
      </w:r>
      <w:r>
        <w:rPr>
          <w:rFonts w:hint="eastAsia" w:ascii="仿宋_GB2312" w:hAnsi="仿宋_GB2312" w:eastAsia="仿宋_GB2312" w:cs="仿宋_GB2312"/>
          <w:b w:val="0"/>
          <w:bCs w:val="0"/>
          <w:color w:val="000000"/>
          <w:kern w:val="0"/>
          <w:sz w:val="32"/>
          <w:szCs w:val="32"/>
          <w:lang w:val="en-US" w:eastAsia="zh-CN"/>
        </w:rPr>
        <w:t>惠州市惠城区高新科技产业园管理委员会</w:t>
      </w:r>
      <w:r>
        <w:rPr>
          <w:rFonts w:hint="eastAsia" w:ascii="仿宋_GB2312" w:hAnsi="仿宋_GB2312" w:eastAsia="仿宋_GB2312" w:cs="仿宋_GB2312"/>
          <w:color w:val="auto"/>
          <w:sz w:val="32"/>
          <w:szCs w:val="32"/>
        </w:rPr>
        <w:t>签订</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项目实施监管协议书</w:t>
      </w:r>
      <w:r>
        <w:rPr>
          <w:rFonts w:hint="eastAsia" w:ascii="仿宋_GB2312" w:hAnsi="仿宋_GB2312" w:eastAsia="仿宋_GB2312" w:cs="仿宋_GB2312"/>
          <w:color w:val="auto"/>
          <w:sz w:val="32"/>
          <w:szCs w:val="32"/>
        </w:rPr>
        <w:t>》</w:t>
      </w:r>
      <w:r>
        <w:rPr>
          <w:rFonts w:hint="eastAsia" w:ascii="仿宋_GB2312" w:hAnsi="宋体" w:eastAsia="仿宋_GB2312" w:cs="宋体"/>
          <w:color w:val="auto"/>
          <w:kern w:val="0"/>
          <w:sz w:val="32"/>
          <w:szCs w:val="32"/>
          <w:highlight w:val="none"/>
          <w:shd w:val="clear" w:color="auto" w:fill="auto"/>
        </w:rPr>
        <w:t>。</w:t>
      </w:r>
    </w:p>
    <w:p>
      <w:pPr>
        <w:pStyle w:val="2"/>
        <w:shd w:val="clear"/>
        <w:ind w:left="0" w:leftChars="0" w:firstLine="640" w:firstLineChars="200"/>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9</w:t>
      </w:r>
      <w:r>
        <w:rPr>
          <w:rFonts w:hint="eastAsia" w:ascii="仿宋_GB2312" w:hAnsi="仿宋_GB2312" w:eastAsia="仿宋_GB2312" w:cs="仿宋_GB2312"/>
          <w:sz w:val="32"/>
          <w:szCs w:val="32"/>
          <w:highlight w:val="none"/>
          <w:shd w:val="clear" w:color="auto" w:fill="auto"/>
        </w:rPr>
        <w:t>）联合竞买协议（联合竞买的提供）。</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val="en-US" w:eastAsia="zh-CN"/>
        </w:rPr>
        <w:t>（10）竞买</w:t>
      </w:r>
      <w:r>
        <w:rPr>
          <w:rFonts w:hint="eastAsia" w:ascii="仿宋_GB2312" w:hAnsi="仿宋_GB2312" w:eastAsia="仿宋_GB2312" w:cs="仿宋_GB2312"/>
          <w:sz w:val="32"/>
          <w:szCs w:val="32"/>
          <w:highlight w:val="none"/>
          <w:shd w:val="clear" w:color="auto" w:fill="auto"/>
        </w:rPr>
        <w:t>人及其控股股东</w:t>
      </w:r>
      <w:r>
        <w:rPr>
          <w:rFonts w:hint="eastAsia" w:ascii="仿宋_GB2312" w:hAnsi="仿宋_GB2312" w:eastAsia="仿宋_GB2312" w:cs="仿宋_GB2312"/>
          <w:sz w:val="32"/>
          <w:szCs w:val="32"/>
          <w:highlight w:val="none"/>
          <w:shd w:val="clear" w:color="auto" w:fill="auto"/>
          <w:lang w:val="en-US" w:eastAsia="zh-CN"/>
        </w:rPr>
        <w:t>不</w:t>
      </w:r>
      <w:r>
        <w:rPr>
          <w:rFonts w:hint="eastAsia" w:ascii="仿宋_GB2312" w:hAnsi="仿宋_GB2312" w:eastAsia="仿宋_GB2312" w:cs="仿宋_GB2312"/>
          <w:sz w:val="32"/>
          <w:szCs w:val="32"/>
          <w:highlight w:val="none"/>
          <w:shd w:val="clear" w:color="auto" w:fill="auto"/>
        </w:rPr>
        <w:t>存在违法、违规、违约行为的</w:t>
      </w:r>
      <w:r>
        <w:rPr>
          <w:rFonts w:hint="eastAsia" w:ascii="仿宋_GB2312" w:hAnsi="仿宋_GB2312" w:eastAsia="仿宋_GB2312" w:cs="仿宋_GB2312"/>
          <w:sz w:val="32"/>
          <w:szCs w:val="32"/>
          <w:highlight w:val="none"/>
          <w:shd w:val="clear" w:color="auto" w:fill="auto"/>
          <w:lang w:val="en-US" w:eastAsia="zh-CN"/>
        </w:rPr>
        <w:t>承诺书</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上述第（</w:t>
      </w: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）项材料须使用本中心标准样本，可在本系统的“挂牌文件”中下载。</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w:t>
      </w:r>
      <w:r>
        <w:rPr>
          <w:rFonts w:hint="eastAsia" w:ascii="仿宋_GB2312" w:hAnsi="仿宋_GB2312" w:eastAsia="仿宋_GB2312" w:cs="仿宋_GB2312"/>
          <w:sz w:val="32"/>
          <w:szCs w:val="32"/>
          <w:highlight w:val="none"/>
          <w:shd w:val="clear" w:color="auto" w:fill="auto"/>
          <w:lang w:val="en-US" w:eastAsia="zh-CN"/>
        </w:rPr>
        <w:t>得</w:t>
      </w:r>
      <w:r>
        <w:rPr>
          <w:rFonts w:hint="eastAsia" w:ascii="仿宋_GB2312" w:hAnsi="仿宋_GB2312" w:eastAsia="仿宋_GB2312" w:cs="仿宋_GB2312"/>
          <w:sz w:val="32"/>
          <w:szCs w:val="32"/>
          <w:highlight w:val="none"/>
          <w:shd w:val="clear" w:color="auto" w:fill="auto"/>
        </w:rPr>
        <w:t>人如需保存上述竞买报名资料应自留备份，本中心不予退还。</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联合竞买协议要约定联合各方的权利和义务。必须明确表达参与联合竞买的各方、参与竞买的代表人、联合各方的出资比例和签订《出让合同》时的受让人。</w:t>
      </w:r>
    </w:p>
    <w:p>
      <w:pPr>
        <w:shd w:val="clear"/>
        <w:tabs>
          <w:tab w:val="left" w:pos="3388"/>
        </w:tabs>
        <w:spacing w:line="560" w:lineRule="exact"/>
        <w:ind w:firstLine="643" w:firstLineChars="200"/>
        <w:jc w:val="left"/>
        <w:rPr>
          <w:rFonts w:hint="eastAsia"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上述文件中，申请书必须用中文书写，其他文件可以使用其它语言，但必须附中文译本，所有文件的解释以中文译本为准。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七</w:t>
      </w:r>
      <w:r>
        <w:rPr>
          <w:rFonts w:hint="eastAsia" w:ascii="仿宋_GB2312" w:hAnsi="仿宋_GB2312" w:eastAsia="仿宋_GB2312" w:cs="仿宋_GB2312"/>
          <w:sz w:val="32"/>
          <w:szCs w:val="32"/>
          <w:highlight w:val="none"/>
          <w:shd w:val="clear" w:color="auto" w:fill="auto"/>
        </w:rPr>
        <w:t>）网上挂牌出让结果公示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我中心将在本次国有建设用地使用权网上挂牌出让活动结束后10个工作日内，在中国土地市场网、惠州市公共资源交易中心网和本中心电子显示屏公布本次国有土地使用权网上挂牌出让结果。</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7" w:name="108"/>
      <w:r>
        <w:rPr>
          <w:rFonts w:hint="eastAsia" w:ascii="仿宋_GB2312" w:hAnsi="仿宋_GB2312" w:eastAsia="仿宋_GB2312" w:cs="仿宋_GB2312"/>
          <w:b/>
          <w:bCs/>
          <w:sz w:val="32"/>
          <w:szCs w:val="32"/>
          <w:highlight w:val="none"/>
          <w:shd w:val="clear" w:color="auto" w:fill="auto"/>
        </w:rPr>
        <w:t>十六、</w:t>
      </w:r>
      <w:bookmarkEnd w:id="7"/>
      <w:r>
        <w:rPr>
          <w:rFonts w:hint="eastAsia" w:ascii="仿宋_GB2312" w:hAnsi="仿宋_GB2312" w:eastAsia="仿宋_GB2312" w:cs="仿宋_GB2312"/>
          <w:b/>
          <w:bCs/>
          <w:sz w:val="32"/>
          <w:szCs w:val="32"/>
          <w:highlight w:val="none"/>
          <w:shd w:val="clear" w:color="auto" w:fill="auto"/>
        </w:rPr>
        <w:t>注意事项</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（二）本次国有建设用地使用权网上挂牌出让为无底价挂牌出让，按照价高者得的原则确定竞得人。</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三</w:t>
      </w:r>
      <w:r>
        <w:rPr>
          <w:rFonts w:hint="eastAsia" w:hAnsi="仿宋_GB2312" w:cs="仿宋_GB2312"/>
          <w:szCs w:val="32"/>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hAnsi="仿宋_GB2312" w:cs="仿宋_GB2312"/>
          <w:szCs w:val="32"/>
          <w:lang w:val="en-US" w:eastAsia="zh-CN"/>
        </w:rPr>
        <w:t>（即新公司的股东必须100%是竞买申请企业作为法人的股东）</w:t>
      </w:r>
      <w:r>
        <w:rPr>
          <w:rFonts w:hint="default" w:hAnsi="仿宋_GB2312" w:cs="仿宋_GB2312"/>
          <w:szCs w:val="32"/>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ascii="仿宋_GB2312" w:hAnsi="仿宋_GB2312" w:eastAsia="仿宋_GB2312" w:cs="仿宋_GB2312"/>
          <w:sz w:val="32"/>
          <w:szCs w:val="32"/>
          <w:highlight w:val="none"/>
          <w:shd w:val="clear" w:color="auto" w:fill="auto"/>
        </w:rPr>
      </w:pPr>
      <w:r>
        <w:rPr>
          <w:rFonts w:hint="eastAsia" w:hAnsi="仿宋_GB2312" w:cs="仿宋_GB2312"/>
          <w:szCs w:val="32"/>
        </w:rPr>
        <w:t>（</w:t>
      </w:r>
      <w:r>
        <w:rPr>
          <w:rFonts w:hint="eastAsia" w:hAnsi="仿宋_GB2312" w:cs="仿宋_GB2312"/>
          <w:szCs w:val="32"/>
          <w:lang w:val="en-US" w:eastAsia="zh-CN"/>
        </w:rPr>
        <w:t>四</w:t>
      </w:r>
      <w:r>
        <w:rPr>
          <w:rFonts w:hint="eastAsia" w:hAnsi="仿宋_GB2312" w:cs="仿宋_GB2312"/>
          <w:szCs w:val="32"/>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）确定竞得人后，竞得人持《</w:t>
      </w:r>
      <w:r>
        <w:rPr>
          <w:rFonts w:hint="eastAsia" w:ascii="仿宋_GB2312" w:hAnsi="仿宋_GB2312" w:eastAsia="仿宋_GB2312" w:cs="仿宋_GB2312"/>
          <w:sz w:val="32"/>
          <w:szCs w:val="32"/>
          <w:highlight w:val="none"/>
          <w:shd w:val="clear" w:color="auto" w:fill="auto"/>
          <w:lang w:val="en-US" w:eastAsia="zh-CN"/>
        </w:rPr>
        <w:t>竞价结果</w:t>
      </w:r>
      <w:r>
        <w:rPr>
          <w:rFonts w:hint="eastAsia" w:ascii="仿宋_GB2312" w:hAnsi="仿宋_GB2312" w:eastAsia="仿宋_GB2312" w:cs="仿宋_GB2312"/>
          <w:sz w:val="32"/>
          <w:szCs w:val="32"/>
          <w:highlight w:val="none"/>
          <w:shd w:val="clear" w:color="auto" w:fill="auto"/>
        </w:rPr>
        <w:t>通知书》以及参加本宗地网上挂牌交易的所须资料到惠州市公共资源交易中心土地矿业交易部申办相关成交确认手续。</w:t>
      </w:r>
    </w:p>
    <w:p>
      <w:pPr>
        <w:shd w:val="clear"/>
        <w:tabs>
          <w:tab w:val="left" w:pos="3388"/>
        </w:tabs>
        <w:spacing w:line="560" w:lineRule="exact"/>
        <w:jc w:val="left"/>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竞价结果</w:t>
      </w:r>
      <w:r>
        <w:rPr>
          <w:rFonts w:hint="eastAsia" w:ascii="仿宋_GB2312" w:hAnsi="仿宋_GB2312" w:eastAsia="仿宋_GB2312" w:cs="仿宋_GB2312"/>
          <w:sz w:val="32"/>
          <w:szCs w:val="32"/>
          <w:highlight w:val="none"/>
          <w:shd w:val="clear" w:color="auto" w:fill="auto"/>
        </w:rPr>
        <w:t>通知书》对挂牌人和竞得人具有法律效力，挂牌人改变网上挂牌结果的，或者竞得人放弃竞得宗地的，应当承担相应法律责任。</w:t>
      </w:r>
    </w:p>
    <w:p>
      <w:pPr>
        <w:keepNext w:val="0"/>
        <w:keepLines w:val="0"/>
        <w:pageBreakBefore w:val="0"/>
        <w:widowControl w:val="0"/>
        <w:shd w:val="clear"/>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六</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网上挂牌系统确定成交后，竞得人缴纳的竞买保证金按</w:t>
      </w:r>
      <w:r>
        <w:rPr>
          <w:rFonts w:hint="eastAsia" w:ascii="仿宋_GB2312" w:hAnsi="仿宋_GB2312" w:eastAsia="仿宋_GB2312" w:cs="仿宋_GB2312"/>
          <w:sz w:val="32"/>
          <w:szCs w:val="32"/>
          <w:highlight w:val="none"/>
          <w:shd w:val="clear" w:color="auto" w:fill="auto"/>
          <w:lang w:val="en-US" w:eastAsia="zh-CN"/>
        </w:rPr>
        <w:t>成交价的</w:t>
      </w:r>
      <w:r>
        <w:rPr>
          <w:rFonts w:hint="eastAsia" w:ascii="仿宋_GB2312" w:hAnsi="仿宋_GB2312" w:eastAsia="仿宋_GB2312" w:cs="仿宋_GB2312"/>
          <w:color w:val="auto"/>
          <w:sz w:val="32"/>
          <w:szCs w:val="32"/>
          <w:highlight w:val="none"/>
          <w:shd w:val="clear" w:color="auto" w:fill="auto"/>
          <w:lang w:val="en-US" w:eastAsia="zh-CN"/>
        </w:rPr>
        <w:t>20%</w:t>
      </w:r>
      <w:r>
        <w:rPr>
          <w:rFonts w:hint="eastAsia" w:ascii="仿宋_GB2312" w:hAnsi="仿宋_GB2312" w:eastAsia="仿宋_GB2312" w:cs="仿宋_GB2312"/>
          <w:sz w:val="32"/>
          <w:szCs w:val="32"/>
          <w:highlight w:val="none"/>
          <w:shd w:val="clear" w:color="auto" w:fill="auto"/>
          <w:lang w:val="en-US" w:eastAsia="zh-CN"/>
        </w:rPr>
        <w:t>转作</w:t>
      </w:r>
      <w:r>
        <w:rPr>
          <w:rFonts w:hint="eastAsia" w:ascii="仿宋_GB2312" w:hAnsi="仿宋_GB2312" w:eastAsia="仿宋_GB2312" w:cs="仿宋_GB2312"/>
          <w:sz w:val="32"/>
          <w:szCs w:val="32"/>
          <w:highlight w:val="none"/>
          <w:shd w:val="clear" w:color="auto" w:fill="auto"/>
        </w:rPr>
        <w:t>定金</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如</w:t>
      </w:r>
      <w:r>
        <w:rPr>
          <w:rFonts w:hint="eastAsia" w:ascii="仿宋_GB2312" w:hAnsi="仿宋_GB2312" w:eastAsia="仿宋_GB2312" w:cs="仿宋_GB2312"/>
          <w:sz w:val="32"/>
          <w:szCs w:val="32"/>
          <w:highlight w:val="none"/>
          <w:shd w:val="clear" w:color="auto" w:fill="auto"/>
          <w:lang w:eastAsia="zh-CN"/>
        </w:rPr>
        <w:t>竞买保证金</w:t>
      </w:r>
      <w:r>
        <w:rPr>
          <w:rFonts w:hint="eastAsia" w:ascii="仿宋_GB2312" w:hAnsi="仿宋_GB2312" w:eastAsia="仿宋_GB2312" w:cs="仿宋_GB2312"/>
          <w:sz w:val="32"/>
          <w:szCs w:val="32"/>
          <w:highlight w:val="none"/>
          <w:shd w:val="clear" w:color="auto" w:fill="auto"/>
          <w:lang w:val="en-US" w:eastAsia="zh-CN"/>
        </w:rPr>
        <w:t>不足以缴纳定金，</w:t>
      </w:r>
      <w:r>
        <w:rPr>
          <w:rFonts w:hint="eastAsia" w:ascii="仿宋_GB2312" w:hAnsi="仿宋_GB2312" w:eastAsia="仿宋_GB2312" w:cs="仿宋_GB2312"/>
          <w:sz w:val="32"/>
          <w:szCs w:val="32"/>
          <w:highlight w:val="none"/>
          <w:shd w:val="clear" w:color="auto" w:fill="auto"/>
        </w:rPr>
        <w:t>不足部分在交易系统确定成交之日起5个工作日内补齐</w:t>
      </w:r>
      <w:r>
        <w:rPr>
          <w:rFonts w:hint="eastAsia" w:ascii="仿宋_GB2312" w:hAnsi="仿宋_GB2312" w:eastAsia="仿宋_GB2312" w:cs="仿宋_GB2312"/>
          <w:sz w:val="32"/>
          <w:szCs w:val="32"/>
          <w:highlight w:val="none"/>
          <w:shd w:val="clear" w:color="auto" w:fill="auto"/>
          <w:lang w:eastAsia="zh-CN"/>
        </w:rPr>
        <w:t>；如竞买保证金转作定金</w:t>
      </w:r>
      <w:r>
        <w:rPr>
          <w:rFonts w:hint="eastAsia" w:ascii="仿宋_GB2312" w:hAnsi="仿宋_GB2312" w:eastAsia="仿宋_GB2312" w:cs="仿宋_GB2312"/>
          <w:sz w:val="32"/>
          <w:szCs w:val="32"/>
          <w:highlight w:val="none"/>
          <w:shd w:val="clear" w:color="auto" w:fill="auto"/>
          <w:lang w:val="en-US" w:eastAsia="zh-CN"/>
        </w:rPr>
        <w:t>后有剩余</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余额抵作</w:t>
      </w:r>
      <w:r>
        <w:rPr>
          <w:rFonts w:hint="eastAsia" w:ascii="仿宋_GB2312" w:hAnsi="仿宋_GB2312" w:eastAsia="仿宋_GB2312" w:cs="仿宋_GB2312"/>
          <w:sz w:val="32"/>
          <w:szCs w:val="32"/>
          <w:highlight w:val="none"/>
          <w:shd w:val="clear" w:color="auto" w:fill="auto"/>
          <w:lang w:val="en-US" w:eastAsia="zh-CN"/>
        </w:rPr>
        <w:t>土地</w:t>
      </w:r>
      <w:r>
        <w:rPr>
          <w:rFonts w:hint="eastAsia" w:ascii="仿宋_GB2312" w:hAnsi="仿宋_GB2312" w:eastAsia="仿宋_GB2312" w:cs="仿宋_GB2312"/>
          <w:sz w:val="32"/>
          <w:szCs w:val="32"/>
          <w:highlight w:val="none"/>
          <w:shd w:val="clear" w:color="auto" w:fill="auto"/>
        </w:rPr>
        <w:t>成交价</w:t>
      </w:r>
      <w:r>
        <w:rPr>
          <w:rFonts w:hint="eastAsia" w:ascii="仿宋_GB2312" w:hAnsi="仿宋_GB2312" w:eastAsia="仿宋_GB2312" w:cs="仿宋_GB2312"/>
          <w:sz w:val="32"/>
          <w:szCs w:val="32"/>
          <w:highlight w:val="none"/>
          <w:shd w:val="clear" w:color="auto" w:fill="auto"/>
          <w:lang w:val="en-US" w:eastAsia="zh-CN"/>
        </w:rPr>
        <w:t>的预付</w:t>
      </w:r>
      <w:r>
        <w:rPr>
          <w:rFonts w:hint="eastAsia" w:ascii="仿宋_GB2312" w:hAnsi="仿宋_GB2312" w:eastAsia="仿宋_GB2312" w:cs="仿宋_GB2312"/>
          <w:sz w:val="32"/>
          <w:szCs w:val="32"/>
          <w:highlight w:val="none"/>
          <w:shd w:val="clear" w:color="auto" w:fill="auto"/>
        </w:rPr>
        <w:t>款</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竞得人签订《出让合同》后，定金可抵作土地成交价款，余额转作成交价款。</w:t>
      </w:r>
    </w:p>
    <w:p>
      <w:pPr>
        <w:tabs>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未竞得人缴纳的竞买保证金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以人民币缴纳的竞买保证金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于电子挂牌交易活动结束</w:t>
      </w:r>
      <w:r>
        <w:rPr>
          <w:rFonts w:hint="eastAsia" w:ascii="仿宋_GB2312" w:hAnsi="仿宋_GB2312" w:eastAsia="仿宋_GB2312" w:cs="仿宋_GB2312"/>
          <w:sz w:val="32"/>
          <w:szCs w:val="32"/>
          <w:lang w:val="en-US" w:eastAsia="zh-CN"/>
        </w:rPr>
        <w:t>之日起</w:t>
      </w:r>
      <w:r>
        <w:rPr>
          <w:rFonts w:hint="eastAsia" w:ascii="仿宋_GB2312" w:hAnsi="仿宋_GB2312" w:eastAsia="仿宋_GB2312" w:cs="仿宋_GB2312"/>
          <w:sz w:val="32"/>
          <w:szCs w:val="32"/>
        </w:rPr>
        <w:t>5个工作日内</w:t>
      </w:r>
      <w:r>
        <w:rPr>
          <w:rFonts w:hint="eastAsia" w:ascii="仿宋_GB2312" w:hAnsi="仿宋_GB2312" w:eastAsia="仿宋_GB2312" w:cs="仿宋_GB2312"/>
          <w:sz w:val="32"/>
          <w:szCs w:val="32"/>
          <w:lang w:val="en-US" w:eastAsia="zh-CN"/>
        </w:rPr>
        <w:t>通过网上退还的形式原路退还保证金</w:t>
      </w:r>
      <w:r>
        <w:rPr>
          <w:rFonts w:hint="eastAsia" w:ascii="仿宋_GB2312" w:hAnsi="仿宋_GB2312" w:eastAsia="仿宋_GB2312" w:cs="仿宋_GB2312"/>
          <w:color w:val="000000"/>
          <w:sz w:val="32"/>
          <w:szCs w:val="32"/>
        </w:rPr>
        <w:t>，不计利息</w:t>
      </w:r>
      <w:r>
        <w:rPr>
          <w:rFonts w:hint="eastAsia" w:ascii="仿宋_GB2312" w:hAnsi="仿宋_GB2312" w:eastAsia="仿宋_GB2312" w:cs="仿宋_GB2312"/>
          <w:sz w:val="32"/>
          <w:szCs w:val="32"/>
          <w:lang w:val="en-US" w:eastAsia="zh-CN"/>
        </w:rPr>
        <w:t>。</w:t>
      </w:r>
    </w:p>
    <w:p>
      <w:pPr>
        <w:pStyle w:val="2"/>
        <w:shd w:val="clear"/>
        <w:ind w:left="0" w:leftChars="0" w:firstLine="640" w:firstLineChars="200"/>
        <w:rPr>
          <w:rFonts w:hint="eastAsia" w:ascii="仿宋_GB2312" w:hAnsi="仿宋_GB2312" w:eastAsia="仿宋_GB2312" w:cs="仿宋_GB2312"/>
          <w:color w:val="000000"/>
          <w:kern w:val="2"/>
          <w:sz w:val="32"/>
          <w:szCs w:val="32"/>
          <w:highlight w:val="none"/>
          <w:shd w:val="clear" w:color="auto" w:fill="auto"/>
          <w:lang w:val="en-US" w:eastAsia="zh-CN" w:bidi="ar-SA"/>
        </w:rPr>
      </w:pPr>
      <w:r>
        <w:rPr>
          <w:rFonts w:hint="eastAsia" w:ascii="仿宋_GB2312" w:hAnsi="仿宋_GB2312" w:eastAsia="仿宋_GB2312" w:cs="仿宋_GB2312"/>
          <w:color w:val="000000"/>
          <w:kern w:val="2"/>
          <w:sz w:val="32"/>
          <w:szCs w:val="32"/>
          <w:highlight w:val="none"/>
          <w:shd w:val="clear" w:color="auto" w:fill="auto"/>
          <w:lang w:val="en-US" w:eastAsia="zh-CN" w:bidi="ar-SA"/>
        </w:rPr>
        <w:t>竞得人应当在《成交确认书》签订之日起5个工作日内与出让人签订《出让合同》。</w:t>
      </w:r>
    </w:p>
    <w:p>
      <w:pPr>
        <w:pStyle w:val="2"/>
        <w:shd w:val="clear"/>
        <w:ind w:left="0" w:leftChars="0" w:firstLine="640" w:firstLineChars="200"/>
        <w:rPr>
          <w:rFonts w:hint="eastAsia" w:ascii="仿宋_GB2312" w:hAnsi="仿宋_GB2312" w:eastAsia="仿宋_GB2312" w:cs="仿宋_GB2312"/>
          <w:color w:val="000000"/>
          <w:kern w:val="2"/>
          <w:sz w:val="32"/>
          <w:szCs w:val="32"/>
          <w:highlight w:val="none"/>
          <w:shd w:val="clear" w:color="auto" w:fill="auto"/>
          <w:lang w:val="en-US" w:eastAsia="zh-CN" w:bidi="ar-SA"/>
        </w:rPr>
      </w:pPr>
      <w:r>
        <w:rPr>
          <w:rFonts w:hint="eastAsia" w:ascii="仿宋_GB2312" w:hAnsi="仿宋_GB2312" w:eastAsia="仿宋_GB2312" w:cs="仿宋_GB2312"/>
          <w:sz w:val="32"/>
          <w:szCs w:val="32"/>
          <w:highlight w:val="none"/>
          <w:shd w:val="clear" w:color="auto" w:fill="auto"/>
          <w:lang w:eastAsia="zh-CN"/>
        </w:rPr>
        <w:t>竞得人办理保证金转付地价款手续须带齐相关资料（惠州市非税收入缴款通知、保证金到账通知书、竞价结果通知书、保证金转账凭证）到我中心办理。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七</w:t>
      </w:r>
      <w:r>
        <w:rPr>
          <w:rFonts w:hint="eastAsia" w:ascii="仿宋_GB2312" w:hAnsi="仿宋_GB2312" w:eastAsia="仿宋_GB2312" w:cs="仿宋_GB2312"/>
          <w:sz w:val="32"/>
          <w:szCs w:val="32"/>
          <w:highlight w:val="none"/>
          <w:shd w:val="clear" w:color="auto" w:fill="auto"/>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八</w:t>
      </w:r>
      <w:r>
        <w:rPr>
          <w:rFonts w:hint="eastAsia" w:ascii="仿宋_GB2312" w:hAnsi="仿宋_GB2312" w:eastAsia="仿宋_GB2312" w:cs="仿宋_GB2312"/>
          <w:sz w:val="32"/>
          <w:szCs w:val="32"/>
          <w:highlight w:val="none"/>
          <w:shd w:val="clear" w:color="auto" w:fill="auto"/>
        </w:rPr>
        <w:t>）有下列情形之一的，本中心将暂停、中止或终止网上挂牌交易活动：</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1、网上挂牌交易系统受到网络恶意入侵的。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2、因网上挂牌交易系统遭受破坏或发生电力、网络故障等不可抗力因素，导致网上挂牌交易系统不能正常运行的。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3、网上挂牌交易委托人根据有关规定要求暂停、中止或终止网上挂牌交易活动的。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4、涉及土地或矿业权纠纷，不能及时解决的。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5、司法机关要求暂停、中止或终止网上挂牌交易活动的。</w:t>
      </w:r>
    </w:p>
    <w:p>
      <w:pPr>
        <w:shd w:val="clear"/>
        <w:spacing w:line="560" w:lineRule="exact"/>
        <w:rPr>
          <w:rFonts w:ascii="仿宋_GB2312" w:eastAsia="仿宋_GB231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eastAsia="仿宋_GB2312"/>
          <w:sz w:val="32"/>
          <w:szCs w:val="32"/>
          <w:highlight w:val="none"/>
          <w:shd w:val="clear" w:color="auto" w:fill="auto"/>
        </w:rPr>
        <w:t>6、</w:t>
      </w:r>
      <w:r>
        <w:rPr>
          <w:rFonts w:hint="eastAsia" w:ascii="仿宋_GB2312" w:eastAsia="仿宋_GB2312"/>
          <w:sz w:val="32"/>
          <w:szCs w:val="32"/>
          <w:highlight w:val="none"/>
          <w:shd w:val="clear" w:color="auto" w:fill="auto"/>
          <w:lang w:val="en-US" w:eastAsia="zh-CN"/>
        </w:rPr>
        <w:t>惠州</w:t>
      </w:r>
      <w:r>
        <w:rPr>
          <w:rFonts w:hint="eastAsia" w:ascii="仿宋_GB2312" w:eastAsia="仿宋_GB2312"/>
          <w:sz w:val="32"/>
          <w:szCs w:val="32"/>
          <w:highlight w:val="none"/>
          <w:shd w:val="clear" w:color="auto" w:fill="auto"/>
        </w:rPr>
        <w:t>市</w:t>
      </w:r>
      <w:r>
        <w:rPr>
          <w:rFonts w:hint="eastAsia" w:ascii="仿宋_GB2312" w:eastAsia="仿宋_GB2312"/>
          <w:sz w:val="32"/>
          <w:szCs w:val="32"/>
          <w:highlight w:val="none"/>
          <w:shd w:val="clear" w:color="auto" w:fill="auto"/>
          <w:lang w:val="en-US" w:eastAsia="zh-CN"/>
        </w:rPr>
        <w:t>惠城区</w:t>
      </w:r>
      <w:r>
        <w:rPr>
          <w:rFonts w:hint="eastAsia" w:ascii="仿宋_GB2312" w:eastAsia="仿宋_GB2312"/>
          <w:sz w:val="32"/>
          <w:szCs w:val="32"/>
          <w:highlight w:val="none"/>
          <w:shd w:val="clear" w:color="auto" w:fill="auto"/>
        </w:rPr>
        <w:t>自然资源管理部门或交易中心认为应当暂停、中止或终止网上挂牌交易活动的其他情形。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九</w:t>
      </w:r>
      <w:r>
        <w:rPr>
          <w:rFonts w:hint="eastAsia" w:ascii="仿宋_GB2312" w:hAnsi="仿宋_GB2312" w:eastAsia="仿宋_GB2312" w:cs="仿宋_GB2312"/>
          <w:sz w:val="32"/>
          <w:szCs w:val="32"/>
          <w:highlight w:val="none"/>
          <w:shd w:val="clear" w:color="auto" w:fill="auto"/>
        </w:rPr>
        <w:t>）网上挂牌成交价即为该幅地块的总地价款，竞得人除支付成交价款外，还需支付契税、印花税等有关费用。</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eastAsia="仿宋_GB2312"/>
          <w:sz w:val="32"/>
          <w:szCs w:val="32"/>
          <w:highlight w:val="none"/>
          <w:shd w:val="clear" w:color="auto" w:fill="auto"/>
        </w:rPr>
        <w:t>（十）</w:t>
      </w:r>
      <w:r>
        <w:rPr>
          <w:rFonts w:hint="eastAsia" w:ascii="仿宋_GB2312" w:hAnsi="仿宋_GB2312" w:eastAsia="仿宋_GB2312" w:cs="仿宋_GB2312"/>
          <w:sz w:val="32"/>
          <w:szCs w:val="32"/>
          <w:highlight w:val="none"/>
          <w:shd w:val="clear" w:color="auto" w:fill="auto"/>
        </w:rPr>
        <w:t>竞得人与出让人签订《出让合同》后，应当按出让合同约定支付网上挂牌成交价款。竞得人付清全部网上挂牌成交价款后，依法申请办理土地登记，领取《不动产权证书》。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一</w:t>
      </w:r>
      <w:r>
        <w:rPr>
          <w:rFonts w:hint="eastAsia" w:ascii="仿宋_GB2312" w:hAnsi="仿宋_GB2312" w:eastAsia="仿宋_GB2312" w:cs="仿宋_GB2312"/>
          <w:sz w:val="32"/>
          <w:szCs w:val="32"/>
          <w:highlight w:val="none"/>
          <w:shd w:val="clear" w:color="auto" w:fill="auto"/>
        </w:rPr>
        <w:t>）网上挂牌不成交的，应当按规定由委托方和本中心重新组织出让。</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二</w:t>
      </w:r>
      <w:r>
        <w:rPr>
          <w:rFonts w:hint="eastAsia" w:ascii="仿宋_GB2312" w:hAnsi="仿宋_GB2312" w:eastAsia="仿宋_GB2312" w:cs="仿宋_GB2312"/>
          <w:sz w:val="32"/>
          <w:szCs w:val="32"/>
          <w:highlight w:val="none"/>
          <w:shd w:val="clear" w:color="auto" w:fill="auto"/>
        </w:rPr>
        <w:t>）本中心认为需要对网上挂牌出让须知、公告及相关交易文件作出修改、补充时，将通过原公告发布渠道公告，不作另行通知。</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三</w:t>
      </w:r>
      <w:r>
        <w:rPr>
          <w:rFonts w:hint="eastAsia" w:ascii="仿宋_GB2312" w:hAnsi="仿宋_GB2312" w:eastAsia="仿宋_GB2312" w:cs="仿宋_GB2312"/>
          <w:sz w:val="32"/>
          <w:szCs w:val="32"/>
          <w:highlight w:val="none"/>
          <w:shd w:val="clear" w:color="auto" w:fill="auto"/>
        </w:rPr>
        <w:t>）本须知及公告涉及的时间期限，以惠州市公共资源交易中心土地与矿业网上挂牌交易系统服务器的时间为准。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）竞买人在本次网上挂牌交易过程中与惠州市公共资源交易中心发生任何争议，由双方协商。协商不成的可依法提交惠州市仲裁机构仲裁解决。</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）本中心对本《须知》有解释权。未尽事宜依照《招标拍卖挂牌出让国有土地使用权规范》办理。</w:t>
      </w:r>
    </w:p>
    <w:p>
      <w:pPr>
        <w:pStyle w:val="2"/>
      </w:pPr>
    </w:p>
    <w:p>
      <w:pPr>
        <w:shd w:val="clear"/>
        <w:tabs>
          <w:tab w:val="left" w:pos="3388"/>
        </w:tabs>
        <w:ind w:firstLine="4640" w:firstLineChars="145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惠州市公共资源交易中心</w:t>
      </w:r>
    </w:p>
    <w:p>
      <w:pPr>
        <w:shd w:val="clear"/>
        <w:tabs>
          <w:tab w:val="left" w:pos="3388"/>
        </w:tabs>
        <w:jc w:val="left"/>
        <w:rPr>
          <w:rFonts w:ascii="仿宋_GB2312" w:hAnsi="仿宋_GB2312" w:eastAsia="仿宋_GB2312" w:cs="仿宋_GB2312"/>
          <w:sz w:val="32"/>
          <w:szCs w:val="32"/>
          <w:highlight w:val="none"/>
          <w:shd w:val="clear" w:color="FFFFFF" w:fill="D9D9D9"/>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2022年8月1</w:t>
      </w:r>
      <w:bookmarkStart w:id="8" w:name="_GoBack"/>
      <w:bookmarkEnd w:id="8"/>
      <w:r>
        <w:rPr>
          <w:rFonts w:hint="eastAsia" w:ascii="仿宋_GB2312" w:hAnsi="仿宋_GB2312" w:eastAsia="仿宋_GB2312" w:cs="仿宋_GB2312"/>
          <w:color w:val="auto"/>
          <w:sz w:val="32"/>
          <w:szCs w:val="32"/>
          <w:highlight w:val="none"/>
          <w:shd w:val="clear" w:color="auto" w:fill="auto"/>
          <w:lang w:val="en-US" w:eastAsia="zh-CN"/>
        </w:rPr>
        <w:t>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1B51C7D"/>
    <w:rsid w:val="02924845"/>
    <w:rsid w:val="031A11BD"/>
    <w:rsid w:val="03913E5D"/>
    <w:rsid w:val="042C6BAB"/>
    <w:rsid w:val="04BB2A35"/>
    <w:rsid w:val="04F7599A"/>
    <w:rsid w:val="05280DC9"/>
    <w:rsid w:val="054F511E"/>
    <w:rsid w:val="05616BEE"/>
    <w:rsid w:val="05AA6043"/>
    <w:rsid w:val="062E1CCB"/>
    <w:rsid w:val="065D58C0"/>
    <w:rsid w:val="06E22DF8"/>
    <w:rsid w:val="071F73B3"/>
    <w:rsid w:val="077D5D24"/>
    <w:rsid w:val="07F629A0"/>
    <w:rsid w:val="091E26EA"/>
    <w:rsid w:val="09317644"/>
    <w:rsid w:val="097F0039"/>
    <w:rsid w:val="0A771CCA"/>
    <w:rsid w:val="0A812477"/>
    <w:rsid w:val="0B0B2D99"/>
    <w:rsid w:val="0B1406EF"/>
    <w:rsid w:val="0C40433F"/>
    <w:rsid w:val="0C8642BF"/>
    <w:rsid w:val="0D261A5B"/>
    <w:rsid w:val="0DCB3B54"/>
    <w:rsid w:val="0F0E558C"/>
    <w:rsid w:val="0FB217AF"/>
    <w:rsid w:val="0FB2799E"/>
    <w:rsid w:val="10152918"/>
    <w:rsid w:val="105A2768"/>
    <w:rsid w:val="105C6B40"/>
    <w:rsid w:val="10A1573B"/>
    <w:rsid w:val="10B43BC1"/>
    <w:rsid w:val="10CB5B31"/>
    <w:rsid w:val="111E117E"/>
    <w:rsid w:val="11855A32"/>
    <w:rsid w:val="11A17A14"/>
    <w:rsid w:val="12295A9F"/>
    <w:rsid w:val="13583B9F"/>
    <w:rsid w:val="141106B3"/>
    <w:rsid w:val="14924D3E"/>
    <w:rsid w:val="14D40026"/>
    <w:rsid w:val="15BB632B"/>
    <w:rsid w:val="15C4392F"/>
    <w:rsid w:val="15D340EA"/>
    <w:rsid w:val="16615977"/>
    <w:rsid w:val="168C318D"/>
    <w:rsid w:val="16AE6DA7"/>
    <w:rsid w:val="170F4C1C"/>
    <w:rsid w:val="1729355A"/>
    <w:rsid w:val="17DA4A92"/>
    <w:rsid w:val="18220C10"/>
    <w:rsid w:val="19546A32"/>
    <w:rsid w:val="1960257D"/>
    <w:rsid w:val="19D941D6"/>
    <w:rsid w:val="1B002CF4"/>
    <w:rsid w:val="1C431BA6"/>
    <w:rsid w:val="1CB6407B"/>
    <w:rsid w:val="1D717DCD"/>
    <w:rsid w:val="1D9F01C8"/>
    <w:rsid w:val="1DE56E00"/>
    <w:rsid w:val="1E46102C"/>
    <w:rsid w:val="1E4A3E3B"/>
    <w:rsid w:val="1E9B31A0"/>
    <w:rsid w:val="1ED73189"/>
    <w:rsid w:val="1F1E4268"/>
    <w:rsid w:val="1F2C083B"/>
    <w:rsid w:val="20855E22"/>
    <w:rsid w:val="20BA4943"/>
    <w:rsid w:val="21587C67"/>
    <w:rsid w:val="22463965"/>
    <w:rsid w:val="2249566B"/>
    <w:rsid w:val="22661D8C"/>
    <w:rsid w:val="22DC01FC"/>
    <w:rsid w:val="23141DA3"/>
    <w:rsid w:val="23FD266B"/>
    <w:rsid w:val="24136EC8"/>
    <w:rsid w:val="247C6354"/>
    <w:rsid w:val="248F57AD"/>
    <w:rsid w:val="259D34B7"/>
    <w:rsid w:val="25D63F7C"/>
    <w:rsid w:val="25E54340"/>
    <w:rsid w:val="26391FD0"/>
    <w:rsid w:val="26741665"/>
    <w:rsid w:val="272C05B0"/>
    <w:rsid w:val="281D1027"/>
    <w:rsid w:val="282C1E6E"/>
    <w:rsid w:val="28D14CFE"/>
    <w:rsid w:val="28D2352A"/>
    <w:rsid w:val="28ED736B"/>
    <w:rsid w:val="29220F8B"/>
    <w:rsid w:val="29DE5841"/>
    <w:rsid w:val="2A4D2521"/>
    <w:rsid w:val="2A636D11"/>
    <w:rsid w:val="2AA45603"/>
    <w:rsid w:val="2B1A2077"/>
    <w:rsid w:val="2CA246FC"/>
    <w:rsid w:val="2CAE2771"/>
    <w:rsid w:val="2CD752D7"/>
    <w:rsid w:val="2D027EED"/>
    <w:rsid w:val="2D2632FD"/>
    <w:rsid w:val="2DEB4267"/>
    <w:rsid w:val="2F0337D6"/>
    <w:rsid w:val="2F944F64"/>
    <w:rsid w:val="2FA2409E"/>
    <w:rsid w:val="30AC5587"/>
    <w:rsid w:val="30DB33EE"/>
    <w:rsid w:val="313D23E2"/>
    <w:rsid w:val="31880862"/>
    <w:rsid w:val="31B60A9D"/>
    <w:rsid w:val="31EA6469"/>
    <w:rsid w:val="324E22EE"/>
    <w:rsid w:val="33A33367"/>
    <w:rsid w:val="33CE0AAA"/>
    <w:rsid w:val="34836833"/>
    <w:rsid w:val="34B40523"/>
    <w:rsid w:val="34C41D04"/>
    <w:rsid w:val="34CD617E"/>
    <w:rsid w:val="34E2501F"/>
    <w:rsid w:val="3588604B"/>
    <w:rsid w:val="360B04FE"/>
    <w:rsid w:val="361C1DB9"/>
    <w:rsid w:val="378C6660"/>
    <w:rsid w:val="37FB7A76"/>
    <w:rsid w:val="38703C12"/>
    <w:rsid w:val="38A76E9E"/>
    <w:rsid w:val="38DE5E51"/>
    <w:rsid w:val="390E539D"/>
    <w:rsid w:val="3B06746C"/>
    <w:rsid w:val="3B774CCC"/>
    <w:rsid w:val="3C4A4143"/>
    <w:rsid w:val="3C5E598F"/>
    <w:rsid w:val="3C8F0E4F"/>
    <w:rsid w:val="3CAD2EC5"/>
    <w:rsid w:val="3CB81CC8"/>
    <w:rsid w:val="3D322E34"/>
    <w:rsid w:val="3D34683B"/>
    <w:rsid w:val="3D5E1016"/>
    <w:rsid w:val="3F3F4FAD"/>
    <w:rsid w:val="3FB91BA4"/>
    <w:rsid w:val="3FC22752"/>
    <w:rsid w:val="418879B1"/>
    <w:rsid w:val="41CE7F2A"/>
    <w:rsid w:val="41EE5FAA"/>
    <w:rsid w:val="420B00A8"/>
    <w:rsid w:val="421630A4"/>
    <w:rsid w:val="43010898"/>
    <w:rsid w:val="432B1A76"/>
    <w:rsid w:val="43E840B4"/>
    <w:rsid w:val="43EC1655"/>
    <w:rsid w:val="440C4340"/>
    <w:rsid w:val="4442558E"/>
    <w:rsid w:val="44811DC9"/>
    <w:rsid w:val="44D36207"/>
    <w:rsid w:val="450E3C66"/>
    <w:rsid w:val="454309A1"/>
    <w:rsid w:val="458C06A8"/>
    <w:rsid w:val="45C47203"/>
    <w:rsid w:val="45E829E7"/>
    <w:rsid w:val="465E4F22"/>
    <w:rsid w:val="467262F8"/>
    <w:rsid w:val="46DA05EA"/>
    <w:rsid w:val="46F579AB"/>
    <w:rsid w:val="472C478C"/>
    <w:rsid w:val="48566E44"/>
    <w:rsid w:val="48593E6F"/>
    <w:rsid w:val="48B510E7"/>
    <w:rsid w:val="49076A91"/>
    <w:rsid w:val="493B6F1B"/>
    <w:rsid w:val="49EA4586"/>
    <w:rsid w:val="4AFF2E69"/>
    <w:rsid w:val="4B8E7FA9"/>
    <w:rsid w:val="4BA610FC"/>
    <w:rsid w:val="4BC3115D"/>
    <w:rsid w:val="4BEE1CA4"/>
    <w:rsid w:val="4CF51C39"/>
    <w:rsid w:val="4D1F6077"/>
    <w:rsid w:val="4DC8070E"/>
    <w:rsid w:val="4E0017E7"/>
    <w:rsid w:val="4ED2701A"/>
    <w:rsid w:val="4F1E4BBE"/>
    <w:rsid w:val="4F3537ED"/>
    <w:rsid w:val="4FFE1B2F"/>
    <w:rsid w:val="51467837"/>
    <w:rsid w:val="51660328"/>
    <w:rsid w:val="52132F5D"/>
    <w:rsid w:val="528F1625"/>
    <w:rsid w:val="52AA5DFE"/>
    <w:rsid w:val="533F6C66"/>
    <w:rsid w:val="544F17E9"/>
    <w:rsid w:val="546D5003"/>
    <w:rsid w:val="54943EAC"/>
    <w:rsid w:val="54C11818"/>
    <w:rsid w:val="55943151"/>
    <w:rsid w:val="57D00A5F"/>
    <w:rsid w:val="58AC5C79"/>
    <w:rsid w:val="58B217DC"/>
    <w:rsid w:val="58FE24B1"/>
    <w:rsid w:val="59693A9B"/>
    <w:rsid w:val="5A154FE3"/>
    <w:rsid w:val="5AEE4F52"/>
    <w:rsid w:val="5B0C2732"/>
    <w:rsid w:val="5B1D2CCC"/>
    <w:rsid w:val="5B52670E"/>
    <w:rsid w:val="5B625B54"/>
    <w:rsid w:val="5B640509"/>
    <w:rsid w:val="5B8E3054"/>
    <w:rsid w:val="5BA7715F"/>
    <w:rsid w:val="5C2A6903"/>
    <w:rsid w:val="5C943765"/>
    <w:rsid w:val="5D006096"/>
    <w:rsid w:val="5D731ABE"/>
    <w:rsid w:val="5DB15592"/>
    <w:rsid w:val="5DF81F1B"/>
    <w:rsid w:val="5DFB50B1"/>
    <w:rsid w:val="5E2E0948"/>
    <w:rsid w:val="5EE41DB0"/>
    <w:rsid w:val="5F560C0B"/>
    <w:rsid w:val="600D408B"/>
    <w:rsid w:val="604C16CD"/>
    <w:rsid w:val="610A5EBF"/>
    <w:rsid w:val="61245A3C"/>
    <w:rsid w:val="6139079D"/>
    <w:rsid w:val="6178185B"/>
    <w:rsid w:val="617F00E3"/>
    <w:rsid w:val="61C04C47"/>
    <w:rsid w:val="61C170AA"/>
    <w:rsid w:val="61D82B90"/>
    <w:rsid w:val="626D5569"/>
    <w:rsid w:val="62D03E81"/>
    <w:rsid w:val="62D41879"/>
    <w:rsid w:val="6398078D"/>
    <w:rsid w:val="641A28B3"/>
    <w:rsid w:val="648A18F5"/>
    <w:rsid w:val="64C30585"/>
    <w:rsid w:val="651C53A6"/>
    <w:rsid w:val="656B5E9D"/>
    <w:rsid w:val="659D6FA9"/>
    <w:rsid w:val="65F2007E"/>
    <w:rsid w:val="66C13377"/>
    <w:rsid w:val="674565D5"/>
    <w:rsid w:val="67927D39"/>
    <w:rsid w:val="67EE0FCE"/>
    <w:rsid w:val="68085778"/>
    <w:rsid w:val="688B43B5"/>
    <w:rsid w:val="68E63F59"/>
    <w:rsid w:val="691B7B5A"/>
    <w:rsid w:val="69B07B1E"/>
    <w:rsid w:val="69E22ED5"/>
    <w:rsid w:val="6A15326A"/>
    <w:rsid w:val="6AA821A5"/>
    <w:rsid w:val="6B8A6BF3"/>
    <w:rsid w:val="6BFA1460"/>
    <w:rsid w:val="6C013F77"/>
    <w:rsid w:val="6C181FB4"/>
    <w:rsid w:val="6C197CDD"/>
    <w:rsid w:val="6C5A6DDE"/>
    <w:rsid w:val="6C611252"/>
    <w:rsid w:val="6CCC1A8E"/>
    <w:rsid w:val="6E1E50A4"/>
    <w:rsid w:val="6FCE2720"/>
    <w:rsid w:val="7020680D"/>
    <w:rsid w:val="705B684C"/>
    <w:rsid w:val="713D7851"/>
    <w:rsid w:val="714F5518"/>
    <w:rsid w:val="71AB46C8"/>
    <w:rsid w:val="72CC1A29"/>
    <w:rsid w:val="74CC0B4E"/>
    <w:rsid w:val="74D35F13"/>
    <w:rsid w:val="755C76C8"/>
    <w:rsid w:val="75E43E25"/>
    <w:rsid w:val="76382CBE"/>
    <w:rsid w:val="76B47A3E"/>
    <w:rsid w:val="77A91566"/>
    <w:rsid w:val="77E167B8"/>
    <w:rsid w:val="78591F3E"/>
    <w:rsid w:val="78CA1EAE"/>
    <w:rsid w:val="792409A3"/>
    <w:rsid w:val="7A881483"/>
    <w:rsid w:val="7A962112"/>
    <w:rsid w:val="7AE44F5D"/>
    <w:rsid w:val="7B3065F7"/>
    <w:rsid w:val="7B4F2E9A"/>
    <w:rsid w:val="7B8363CD"/>
    <w:rsid w:val="7D5207DE"/>
    <w:rsid w:val="7E857972"/>
    <w:rsid w:val="7F111F6F"/>
    <w:rsid w:val="7F9A6C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7AB7"/>
      <w:u w:val="none"/>
    </w:rPr>
  </w:style>
  <w:style w:type="character" w:styleId="11">
    <w:name w:val="HTML Definition"/>
    <w:basedOn w:val="8"/>
    <w:qFormat/>
    <w:uiPriority w:val="0"/>
    <w:rPr>
      <w:i/>
      <w:color w:val="555555"/>
      <w:sz w:val="21"/>
      <w:szCs w:val="21"/>
      <w:bdr w:val="single" w:color="CCCCCC" w:sz="6" w:space="0"/>
      <w:shd w:val="clear" w:fill="EEEEEE"/>
    </w:rPr>
  </w:style>
  <w:style w:type="character" w:styleId="12">
    <w:name w:val="Hyperlink"/>
    <w:basedOn w:val="8"/>
    <w:qFormat/>
    <w:uiPriority w:val="0"/>
    <w:rPr>
      <w:color w:val="337AB7"/>
      <w:u w:val="none"/>
    </w:rPr>
  </w:style>
  <w:style w:type="character" w:styleId="13">
    <w:name w:val="HTML Code"/>
    <w:basedOn w:val="8"/>
    <w:qFormat/>
    <w:uiPriority w:val="0"/>
    <w:rPr>
      <w:rFonts w:hint="default" w:ascii="Consolas" w:hAnsi="Consolas" w:eastAsia="Consolas" w:cs="Consolas"/>
      <w:color w:val="C7254E"/>
      <w:sz w:val="21"/>
      <w:szCs w:val="21"/>
      <w:shd w:val="clear" w:fill="F9F2F4"/>
    </w:rPr>
  </w:style>
  <w:style w:type="character" w:styleId="14">
    <w:name w:val="HTML Keyboard"/>
    <w:basedOn w:val="8"/>
    <w:qFormat/>
    <w:uiPriority w:val="0"/>
    <w:rPr>
      <w:rFonts w:ascii="Consolas" w:hAnsi="Consolas" w:eastAsia="Consolas" w:cs="Consolas"/>
      <w:color w:val="FFFFFF"/>
      <w:sz w:val="21"/>
      <w:szCs w:val="21"/>
      <w:shd w:val="clear" w:fill="333333"/>
    </w:rPr>
  </w:style>
  <w:style w:type="character" w:styleId="15">
    <w:name w:val="HTML Sample"/>
    <w:basedOn w:val="8"/>
    <w:qFormat/>
    <w:uiPriority w:val="0"/>
    <w:rPr>
      <w:rFonts w:hint="default" w:ascii="Consolas" w:hAnsi="Consolas" w:eastAsia="Consolas" w:cs="Consolas"/>
      <w:sz w:val="21"/>
      <w:szCs w:val="21"/>
    </w:rPr>
  </w:style>
  <w:style w:type="character" w:customStyle="1" w:styleId="17">
    <w:name w:val="页眉 Char"/>
    <w:basedOn w:val="8"/>
    <w:link w:val="6"/>
    <w:qFormat/>
    <w:uiPriority w:val="0"/>
    <w:rPr>
      <w:rFonts w:ascii="Calibri" w:hAnsi="Calibri"/>
      <w:kern w:val="2"/>
      <w:sz w:val="18"/>
      <w:szCs w:val="18"/>
    </w:rPr>
  </w:style>
  <w:style w:type="character" w:customStyle="1" w:styleId="18">
    <w:name w:val="页脚 Char"/>
    <w:basedOn w:val="8"/>
    <w:link w:val="5"/>
    <w:qFormat/>
    <w:uiPriority w:val="99"/>
    <w:rPr>
      <w:rFonts w:ascii="Calibri" w:hAnsi="Calibri"/>
      <w:kern w:val="2"/>
      <w:sz w:val="18"/>
      <w:szCs w:val="22"/>
    </w:rPr>
  </w:style>
  <w:style w:type="character" w:customStyle="1" w:styleId="19">
    <w:name w:val="正文文本缩进 Char"/>
    <w:basedOn w:val="8"/>
    <w:link w:val="3"/>
    <w:qFormat/>
    <w:uiPriority w:val="0"/>
    <w:rPr>
      <w:rFonts w:ascii="仿宋_GB2312" w:hAnsi="华文中宋" w:eastAsia="仿宋_GB2312"/>
      <w:sz w:val="32"/>
      <w:szCs w:val="24"/>
    </w:rPr>
  </w:style>
  <w:style w:type="character" w:customStyle="1" w:styleId="20">
    <w:name w:val="actspan"/>
    <w:basedOn w:val="8"/>
    <w:qFormat/>
    <w:uiPriority w:val="0"/>
  </w:style>
  <w:style w:type="character" w:customStyle="1" w:styleId="21">
    <w:name w:val="layui-layer-tabnow"/>
    <w:basedOn w:val="8"/>
    <w:qFormat/>
    <w:uiPriority w:val="0"/>
    <w:rPr>
      <w:bdr w:val="single" w:color="CCCCCC" w:sz="6" w:space="0"/>
      <w:shd w:val="clear" w:fill="FFFFFF"/>
    </w:rPr>
  </w:style>
  <w:style w:type="character" w:customStyle="1" w:styleId="22">
    <w:name w:val="first-child"/>
    <w:basedOn w:val="8"/>
    <w:qFormat/>
    <w:uiPriority w:val="0"/>
  </w:style>
  <w:style w:type="character" w:customStyle="1" w:styleId="23">
    <w:name w:val="actspan2"/>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10</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Administrator</cp:lastModifiedBy>
  <cp:lastPrinted>2022-07-26T03:21:00Z</cp:lastPrinted>
  <dcterms:modified xsi:type="dcterms:W3CDTF">2022-08-02T01:09:40Z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844A8BE9FF7B4045B1B05C09266726FC</vt:lpwstr>
  </property>
</Properties>
</file>